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170"/>
        <w:ind w:left="0" w:right="0" w:hanging="0"/>
        <w:jc w:val="center"/>
        <w:rPr>
          <w:rFonts w:ascii="Times New Roman" w:hAnsi="Times New Roman" w:cs="Arial"/>
          <w:b/>
          <w:b/>
          <w:i w:val="false"/>
          <w:i w:val="false"/>
          <w:iCs w:val="false"/>
          <w:color w:val="000000"/>
          <w:sz w:val="26"/>
          <w:szCs w:val="26"/>
        </w:rPr>
      </w:pPr>
      <w:r>
        <w:rPr>
          <w:rFonts w:cs="Arial" w:ascii="Times New Roman" w:hAnsi="Times New Roman"/>
          <w:b/>
          <w:i w:val="false"/>
          <w:iCs w:val="false"/>
          <w:color w:val="000000"/>
          <w:sz w:val="26"/>
          <w:szCs w:val="26"/>
        </w:rPr>
        <w:drawing>
          <wp:anchor behindDoc="0" distT="0" distB="0" distL="114300" distR="114300" simplePos="0" locked="0" layoutInCell="1" allowOverlap="1" relativeHeight="2">
            <wp:simplePos x="0" y="0"/>
            <wp:positionH relativeFrom="column">
              <wp:posOffset>2340610</wp:posOffset>
            </wp:positionH>
            <wp:positionV relativeFrom="paragraph">
              <wp:posOffset>29210</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Standard"/>
        <w:spacing w:lineRule="auto" w:line="276" w:before="0" w:after="170"/>
        <w:ind w:left="0" w:right="0" w:hanging="0"/>
        <w:jc w:val="center"/>
        <w:rPr>
          <w:color w:val="000000"/>
        </w:rPr>
      </w:pPr>
      <w:r>
        <w:rPr>
          <w:rFonts w:cs="Times New Roman" w:ascii="Times New Roman" w:hAnsi="Times New Roman"/>
          <w:b/>
          <w:bCs/>
          <w:i w:val="false"/>
          <w:iCs w:val="false"/>
          <w:color w:val="000000"/>
          <w:sz w:val="26"/>
          <w:szCs w:val="26"/>
        </w:rPr>
        <w:t xml:space="preserve">                                                             </w:t>
      </w:r>
    </w:p>
    <w:p>
      <w:pPr>
        <w:pStyle w:val="Standard"/>
        <w:spacing w:lineRule="auto" w:line="276" w:before="0" w:after="170"/>
        <w:ind w:left="0" w:right="0" w:hanging="0"/>
        <w:jc w:val="center"/>
        <w:rPr>
          <w:rFonts w:ascii="Times New Roman" w:hAnsi="Times New Roman" w:cs="Times New Roman"/>
          <w:b/>
          <w:b/>
          <w:bCs/>
          <w:color w:val="000000"/>
          <w:sz w:val="26"/>
          <w:szCs w:val="26"/>
        </w:rPr>
      </w:pPr>
      <w:r>
        <w:rPr>
          <w:rFonts w:cs="Times New Roman" w:ascii="Times New Roman" w:hAnsi="Times New Roman"/>
          <w:b/>
          <w:bCs/>
          <w:color w:val="000000"/>
          <w:sz w:val="26"/>
          <w:szCs w:val="26"/>
        </w:rPr>
      </w:r>
    </w:p>
    <w:p>
      <w:pPr>
        <w:pStyle w:val="Standard"/>
        <w:spacing w:lineRule="auto" w:line="276" w:before="0" w:after="170"/>
        <w:ind w:left="0" w:right="0" w:hanging="0"/>
        <w:jc w:val="center"/>
        <w:rPr>
          <w:color w:val="000000"/>
        </w:rPr>
      </w:pPr>
      <w:r>
        <w:rPr>
          <w:rFonts w:cs="Times New Roman" w:ascii="Times New Roman" w:hAnsi="Times New Roman"/>
          <w:b/>
          <w:bCs/>
          <w:i w:val="false"/>
          <w:iCs w:val="false"/>
          <w:color w:val="000000"/>
          <w:sz w:val="26"/>
          <w:szCs w:val="26"/>
        </w:rPr>
        <w:t>MINISTÉRIO DA DEFESA</w:t>
        <w:br/>
        <w:t>EXÉRCITO BRASILEIRO</w:t>
        <w:br/>
      </w:r>
      <w:r>
        <w:rPr>
          <w:rFonts w:ascii="Times New Roman" w:hAnsi="Times New Roman"/>
          <w:b/>
          <w:i w:val="false"/>
          <w:iCs w:val="false"/>
          <w:color w:val="000000"/>
          <w:sz w:val="26"/>
          <w:szCs w:val="26"/>
        </w:rPr>
        <w:t xml:space="preserve">CMS - 5ª RM </w:t>
        <w:br/>
      </w:r>
      <w:r>
        <w:rPr>
          <w:rFonts w:cs="Times New Roman" w:ascii="Times New Roman" w:hAnsi="Times New Roman"/>
          <w:b/>
          <w:bCs/>
          <w:i w:val="false"/>
          <w:iCs w:val="false"/>
          <w:color w:val="000000"/>
          <w:sz w:val="26"/>
          <w:szCs w:val="26"/>
        </w:rPr>
        <w:t xml:space="preserve">PARQUE REGIONAL DE MANUTENÇÃO/5 </w:t>
      </w:r>
    </w:p>
    <w:p>
      <w:pPr>
        <w:pStyle w:val="Normal"/>
        <w:spacing w:lineRule="auto" w:line="276" w:before="0" w:after="170"/>
        <w:ind w:left="0" w:right="0" w:hanging="0"/>
        <w:jc w:val="center"/>
        <w:rPr>
          <w:color w:val="000000"/>
        </w:rPr>
      </w:pPr>
      <w:r>
        <w:rPr>
          <w:rFonts w:cs="Arial" w:ascii="Times New Roman" w:hAnsi="Times New Roman"/>
          <w:b/>
          <w:bCs/>
          <w:i w:val="false"/>
          <w:iCs w:val="false"/>
          <w:color w:val="000000"/>
          <w:sz w:val="26"/>
          <w:szCs w:val="26"/>
        </w:rPr>
        <w:t>TERMO DE CONTRATO – CONTRATAÇÃO DIRETA (LEI Nº 14.133/21)</w:t>
      </w:r>
    </w:p>
    <w:p>
      <w:pPr>
        <w:pStyle w:val="Normal"/>
        <w:spacing w:lineRule="auto" w:line="276" w:before="0" w:after="170"/>
        <w:ind w:left="0" w:right="0" w:hanging="0"/>
        <w:jc w:val="center"/>
        <w:rPr>
          <w:color w:val="000000"/>
        </w:rPr>
      </w:pPr>
      <w:r>
        <w:rPr>
          <w:rFonts w:eastAsia="Times New Roman" w:cs="Arial" w:ascii="Times New Roman" w:hAnsi="Times New Roman"/>
          <w:b/>
          <w:bCs/>
          <w:i w:val="false"/>
          <w:iCs w:val="false"/>
          <w:color w:val="000000"/>
          <w:sz w:val="26"/>
          <w:szCs w:val="26"/>
        </w:rPr>
        <w:t>SERVIÇOS DE ENGENHARIA DE NATUREZA COMUM</w:t>
      </w:r>
    </w:p>
    <w:p>
      <w:pPr>
        <w:pStyle w:val="Normal"/>
        <w:spacing w:lineRule="auto" w:line="276" w:before="0" w:after="170"/>
        <w:ind w:left="0" w:right="0" w:hanging="0"/>
        <w:jc w:val="center"/>
        <w:rPr>
          <w:rFonts w:ascii="Times New Roman" w:hAnsi="Times New Roman"/>
          <w:i w:val="false"/>
          <w:i w:val="false"/>
          <w:iCs w:val="false"/>
          <w:color w:val="000000"/>
          <w:sz w:val="26"/>
          <w:szCs w:val="26"/>
        </w:rPr>
      </w:pPr>
      <w:r>
        <w:rPr>
          <w:rFonts w:ascii="Times New Roman" w:hAnsi="Times New Roman"/>
          <w:i w:val="false"/>
          <w:iCs w:val="false"/>
          <w:color w:val="000000"/>
          <w:sz w:val="26"/>
          <w:szCs w:val="26"/>
        </w:rPr>
      </w:r>
    </w:p>
    <w:p>
      <w:pPr>
        <w:pStyle w:val="CAPAOUTROSELEM"/>
        <w:spacing w:lineRule="auto" w:line="276" w:before="0" w:after="170"/>
        <w:ind w:left="0" w:right="0" w:hanging="0"/>
        <w:contextualSpacing/>
        <w:rPr>
          <w:color w:val="000000"/>
          <w:sz w:val="32"/>
          <w:szCs w:val="32"/>
        </w:rPr>
      </w:pPr>
      <w:r>
        <w:rPr>
          <w:rFonts w:cs="Calibri" w:ascii="Times New Roman" w:hAnsi="Times New Roman" w:cstheme="minorHAnsi"/>
          <w:b w:val="false"/>
          <w:bCs w:val="false"/>
          <w:i w:val="false"/>
          <w:iCs w:val="false"/>
          <w:color w:val="000000"/>
          <w:sz w:val="32"/>
          <w:szCs w:val="32"/>
        </w:rPr>
        <w:t xml:space="preserve">Nup :  </w:t>
      </w:r>
      <w:r>
        <w:rPr>
          <w:rFonts w:eastAsia="Segoe UI" w:cs="Calibri" w:ascii="Times new roman" w:hAnsi="Times new roman" w:cstheme="minorHAnsi"/>
          <w:b/>
          <w:bCs/>
          <w:i w:val="false"/>
          <w:iCs w:val="false"/>
          <w:caps/>
          <w:color w:val="000000"/>
          <w:sz w:val="32"/>
          <w:szCs w:val="32"/>
          <w:lang w:val="pt-BR" w:eastAsia="pt-BR" w:bidi="ar-SA"/>
        </w:rPr>
        <w:t>64618.008285/2023-56</w:t>
      </w:r>
    </w:p>
    <w:p>
      <w:pPr>
        <w:pStyle w:val="CAPAOUTROSELEM"/>
        <w:spacing w:lineRule="auto" w:line="276" w:before="0" w:after="170"/>
        <w:ind w:left="0" w:right="0" w:hanging="0"/>
        <w:contextualSpacing/>
        <w:rPr>
          <w:rFonts w:ascii="Times new roman" w:hAnsi="Times new roman" w:eastAsia="Segoe UI" w:cs="Calibri" w:cstheme="minorHAnsi"/>
          <w:b/>
          <w:b/>
          <w:bCs/>
          <w:i w:val="false"/>
          <w:i w:val="false"/>
          <w:iCs w:val="false"/>
          <w:caps/>
          <w:lang w:val="pt-BR" w:eastAsia="pt-BR" w:bidi="ar-SA"/>
        </w:rPr>
      </w:pPr>
      <w:r>
        <w:rPr>
          <w:color w:val="000000"/>
          <w:sz w:val="32"/>
          <w:szCs w:val="32"/>
        </w:rPr>
      </w:r>
    </w:p>
    <w:p>
      <w:pPr>
        <w:pStyle w:val="CAPAOUTROSELEM"/>
        <w:spacing w:lineRule="auto" w:line="276" w:before="0" w:after="170"/>
        <w:ind w:left="0" w:right="0" w:hanging="0"/>
        <w:contextualSpacing/>
        <w:jc w:val="center"/>
        <w:rPr>
          <w:color w:val="000000"/>
        </w:rPr>
      </w:pPr>
      <w:r>
        <w:rPr>
          <w:rFonts w:eastAsia="Times New Roman" w:cs="Calibri" w:ascii="Times New Roman" w:hAnsi="Times New Roman" w:cstheme="minorHAnsi"/>
          <w:b w:val="false"/>
          <w:bCs/>
          <w:i w:val="false"/>
          <w:iCs w:val="false"/>
          <w:color w:val="000000"/>
          <w:sz w:val="26"/>
          <w:szCs w:val="26"/>
        </w:rPr>
        <w:t>(BASEADO NA LEI 14.133/2021)</w:t>
      </w:r>
    </w:p>
    <w:p>
      <w:pPr>
        <w:pStyle w:val="CAPAOUTROSELEM"/>
        <w:spacing w:lineRule="auto" w:line="276" w:before="0" w:after="170"/>
        <w:ind w:left="0" w:right="0" w:hanging="0"/>
        <w:contextualSpacing/>
        <w:jc w:val="center"/>
        <w:rPr>
          <w:rFonts w:ascii="Times New Roman" w:hAnsi="Times New Roman"/>
          <w:i w:val="false"/>
          <w:i w:val="false"/>
          <w:iCs w:val="false"/>
          <w:color w:val="000000"/>
          <w:sz w:val="26"/>
          <w:szCs w:val="26"/>
        </w:rPr>
      </w:pPr>
      <w:r>
        <w:rPr>
          <w:rFonts w:ascii="Times New Roman" w:hAnsi="Times New Roman"/>
          <w:i w:val="false"/>
          <w:iCs w:val="false"/>
          <w:color w:val="000000"/>
          <w:sz w:val="26"/>
          <w:szCs w:val="26"/>
        </w:rPr>
      </w:r>
    </w:p>
    <w:p>
      <w:pPr>
        <w:pStyle w:val="Normal"/>
        <w:spacing w:lineRule="auto" w:line="276" w:before="0" w:after="170"/>
        <w:ind w:left="0" w:right="0" w:hanging="0"/>
        <w:jc w:val="both"/>
        <w:rPr>
          <w:color w:val="000000"/>
        </w:rPr>
      </w:pPr>
      <w:r>
        <w:rPr>
          <w:rFonts w:cs="Arial" w:ascii="Times New Roman" w:hAnsi="Times New Roman"/>
          <w:b/>
          <w:bCs w:val="false"/>
          <w:i w:val="false"/>
          <w:iCs w:val="false"/>
          <w:color w:val="000000"/>
          <w:sz w:val="26"/>
          <w:szCs w:val="26"/>
        </w:rPr>
        <w:t xml:space="preserve">TERMO DE CONTRATO DE PRESTAÇÃO DE SERVIÇO DE ENGENHARIA  Nº ..…….../.……., QUE FAZEM ENTRE SI O(A)......................……………………………………………………................................. E A EMPRESA ...........…………………………………...........................................…………………......  </w:t>
      </w:r>
    </w:p>
    <w:p>
      <w:pPr>
        <w:pStyle w:val="Normal"/>
        <w:spacing w:lineRule="auto" w:line="276" w:before="0" w:after="170"/>
        <w:ind w:left="0" w:right="0" w:hanging="0"/>
        <w:jc w:val="both"/>
        <w:rPr/>
      </w:pPr>
      <w:r>
        <w:rPr>
          <w:rFonts w:eastAsia="Arial" w:cs="Times New Roman" w:ascii="Times New Roman" w:hAnsi="Times New Roman"/>
          <w:i w:val="false"/>
          <w:iCs w:val="false"/>
          <w:color w:val="000000"/>
          <w:sz w:val="26"/>
          <w:szCs w:val="26"/>
        </w:rPr>
        <w:t>A União, por intermédio do Parque Regional de Manutenção/5, com sede na Av. Francisco Manoel Albizu, 320 – Bacacheri, na cidade de Curitiba, Estado do Paraná, inscrito no CNPJ sob o n° 09.663.533/0001-28, neste ato representado pelo Ordenador de Despesas</w:t>
      </w:r>
      <w:r>
        <w:rPr>
          <w:rFonts w:eastAsia="Arial" w:cs="Arial" w:ascii="Times New Roman" w:hAnsi="Times New Roman"/>
          <w:i w:val="false"/>
          <w:iCs w:val="false"/>
          <w:color w:val="000000"/>
          <w:sz w:val="26"/>
          <w:szCs w:val="26"/>
        </w:rPr>
        <w:t xml:space="preserv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w:t>
      </w:r>
      <w:r>
        <w:rPr>
          <w:rStyle w:val="LinkdaInternet"/>
          <w:rFonts w:eastAsia="Arial" w:cs="Arial" w:ascii="Times New Roman" w:hAnsi="Times New Roman"/>
          <w:i w:val="false"/>
          <w:iCs w:val="false"/>
          <w:color w:val="000000"/>
          <w:sz w:val="26"/>
          <w:szCs w:val="26"/>
        </w:rPr>
        <w:t>disposições da Lei nº 14.133, de 2021 da Instrução Normativa SEGES/ME nº 75, de 2021 e da Instrução Normativa SEGES/ME nº 67, de 8 de julho de 2021</w:t>
      </w:r>
      <w:r>
        <w:rPr>
          <w:rFonts w:eastAsia="Arial" w:cs="Arial" w:ascii="Times New Roman" w:hAnsi="Times New Roman"/>
          <w:i w:val="false"/>
          <w:iCs w:val="false"/>
          <w:color w:val="000000"/>
          <w:sz w:val="26"/>
          <w:szCs w:val="26"/>
        </w:rPr>
        <w:t>, e demais legislação aplicável, resolvem celebrar o presente Termo de Contrato, decorrente da Dispensa de Licitação, mediante as cláusulas e condições a seguir enunciadas.</w:t>
      </w:r>
    </w:p>
    <w:p>
      <w:pPr>
        <w:pStyle w:val="Nivel01Titulo"/>
        <w:numPr>
          <w:ilvl w:val="0"/>
          <w:numId w:val="1"/>
        </w:numPr>
        <w:spacing w:lineRule="auto" w:line="276" w:before="0" w:after="170"/>
        <w:ind w:left="0" w:right="0" w:hanging="0"/>
        <w:rPr>
          <w:color w:val="000000"/>
        </w:rPr>
      </w:pPr>
      <w:r>
        <w:rPr>
          <w:rFonts w:cs="Arial" w:ascii="Times New Roman" w:hAnsi="Times New Roman"/>
          <w:i w:val="false"/>
          <w:iCs w:val="false"/>
          <w:color w:val="000000"/>
          <w:sz w:val="26"/>
          <w:szCs w:val="26"/>
        </w:rPr>
        <w:t>CLÁUSULA PRIMEIRA – OBJETO (art. 92, I e II)</w:t>
      </w:r>
    </w:p>
    <w:p>
      <w:pPr>
        <w:pStyle w:val="Nivel2"/>
        <w:numPr>
          <w:ilvl w:val="1"/>
          <w:numId w:val="1"/>
        </w:numPr>
        <w:tabs>
          <w:tab w:val="clear" w:pos="708"/>
          <w:tab w:val="left" w:pos="709" w:leader="none"/>
        </w:tabs>
        <w:spacing w:lineRule="auto" w:line="276" w:before="0" w:after="170"/>
        <w:ind w:left="0" w:right="0" w:hanging="0"/>
        <w:rPr>
          <w:color w:val="000000"/>
        </w:rPr>
      </w:pPr>
      <w:r>
        <w:rPr>
          <w:rFonts w:cs="Arial" w:ascii="Times New Roman" w:hAnsi="Times New Roman"/>
          <w:i w:val="false"/>
          <w:iCs w:val="false"/>
          <w:color w:val="000000"/>
          <w:sz w:val="26"/>
          <w:szCs w:val="26"/>
        </w:rPr>
        <w:t xml:space="preserve">O objeto do presente instrumento é a contratação de </w:t>
      </w:r>
      <w:r>
        <w:rPr>
          <w:rFonts w:cs="Calibri" w:ascii="Times New Roman" w:hAnsi="Times New Roman" w:cstheme="minorHAnsi"/>
          <w:i w:val="false"/>
          <w:iCs w:val="false"/>
          <w:color w:val="000000"/>
          <w:sz w:val="26"/>
          <w:szCs w:val="26"/>
          <w:u w:val="none"/>
        </w:rPr>
        <w:t xml:space="preserve">Contratação de serviços de </w:t>
      </w:r>
      <w:r>
        <w:rPr>
          <w:rFonts w:eastAsia="Times New Roman" w:cs="Calibri" w:ascii="Times New Roman" w:hAnsi="Times New Roman" w:cstheme="minorHAnsi"/>
          <w:b w:val="false"/>
          <w:bCs w:val="false"/>
          <w:i w:val="false"/>
          <w:iCs w:val="false"/>
          <w:color w:val="000000"/>
          <w:sz w:val="26"/>
          <w:szCs w:val="26"/>
          <w:u w:val="none"/>
        </w:rPr>
        <w:t xml:space="preserve">ADEQUAÇÃO DE </w:t>
      </w:r>
      <w:r>
        <w:rPr>
          <w:rFonts w:eastAsia="Times New Roman" w:cs="Calibri" w:ascii="Times New Roman" w:hAnsi="Times New Roman" w:cstheme="minorHAnsi"/>
          <w:b w:val="false"/>
          <w:bCs w:val="false"/>
          <w:i w:val="false"/>
          <w:iCs w:val="false"/>
          <w:color w:val="000000"/>
          <w:kern w:val="0"/>
          <w:sz w:val="26"/>
          <w:szCs w:val="26"/>
          <w:u w:val="none"/>
          <w:lang w:eastAsia="pt-BR" w:bidi="ar-SA"/>
        </w:rPr>
        <w:t>ELÉTRICA DO PAVILHÃO 08 – TRATAMENTO SUPERFICIAL DE ARMAMENTO</w:t>
      </w:r>
      <w:r>
        <w:rPr>
          <w:rFonts w:eastAsia="Times New Roman" w:cs="Calibri" w:ascii="Times New Roman" w:hAnsi="Times New Roman" w:cstheme="minorHAnsi"/>
          <w:b w:val="false"/>
          <w:bCs w:val="false"/>
          <w:i w:val="false"/>
          <w:iCs w:val="false"/>
          <w:color w:val="000000"/>
          <w:sz w:val="26"/>
          <w:szCs w:val="26"/>
          <w:u w:val="none"/>
        </w:rPr>
        <w:t xml:space="preserve"> DO PQ R MNT/5</w:t>
      </w:r>
      <w:r>
        <w:rPr>
          <w:rFonts w:cs="Calibri" w:ascii="Times New Roman" w:hAnsi="Times New Roman" w:cstheme="minorHAnsi"/>
          <w:i w:val="false"/>
          <w:iCs w:val="false"/>
          <w:color w:val="000000"/>
          <w:sz w:val="26"/>
          <w:szCs w:val="26"/>
          <w:u w:val="none"/>
        </w:rPr>
        <w:t>, conforme condições e exigências estabelecidas neste instrumento e seus anexos.</w:t>
      </w:r>
    </w:p>
    <w:p>
      <w:pPr>
        <w:pStyle w:val="Nivel2"/>
        <w:numPr>
          <w:ilvl w:val="1"/>
          <w:numId w:val="1"/>
        </w:numPr>
        <w:tabs>
          <w:tab w:val="clear" w:pos="708"/>
          <w:tab w:val="left" w:pos="709" w:leader="none"/>
        </w:tabs>
        <w:spacing w:lineRule="auto" w:line="276" w:before="0" w:after="170"/>
        <w:ind w:left="0" w:right="0" w:hanging="0"/>
        <w:rPr>
          <w:color w:val="000000"/>
        </w:rPr>
      </w:pPr>
      <w:r>
        <w:rPr>
          <w:rFonts w:cs="Arial" w:ascii="Times New Roman" w:hAnsi="Times New Roman"/>
          <w:i w:val="false"/>
          <w:iCs w:val="false"/>
          <w:color w:val="000000"/>
          <w:sz w:val="26"/>
          <w:szCs w:val="26"/>
        </w:rPr>
        <w:t>Objeto da contratação:</w:t>
      </w:r>
    </w:p>
    <w:tbl>
      <w:tblPr>
        <w:tblW w:w="8573" w:type="dxa"/>
        <w:jc w:val="left"/>
        <w:tblInd w:w="-5" w:type="dxa"/>
        <w:tblCellMar>
          <w:top w:w="0" w:type="dxa"/>
          <w:left w:w="103" w:type="dxa"/>
          <w:bottom w:w="0" w:type="dxa"/>
          <w:right w:w="108" w:type="dxa"/>
        </w:tblCellMar>
        <w:tblLook w:val="04a0" w:noHBand="0" w:noVBand="1" w:firstColumn="1" w:lastRow="0" w:lastColumn="0" w:firstRow="1"/>
      </w:tblPr>
      <w:tblGrid>
        <w:gridCol w:w="895"/>
        <w:gridCol w:w="4193"/>
        <w:gridCol w:w="1050"/>
        <w:gridCol w:w="1383"/>
        <w:gridCol w:w="1052"/>
      </w:tblGrid>
      <w:tr>
        <w:trPr/>
        <w:tc>
          <w:tcPr>
            <w:tcW w:w="89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jc w:val="center"/>
              <w:rPr>
                <w:color w:val="000000"/>
              </w:rPr>
            </w:pPr>
            <w:r>
              <w:rPr>
                <w:rFonts w:cs="Arial" w:ascii="Times New Roman" w:hAnsi="Times New Roman"/>
                <w:bCs/>
                <w:i w:val="false"/>
                <w:iCs w:val="false"/>
                <w:color w:val="000000"/>
                <w:sz w:val="26"/>
                <w:szCs w:val="26"/>
              </w:rPr>
              <w:t>ITEM</w:t>
            </w:r>
          </w:p>
          <w:p>
            <w:pPr>
              <w:pStyle w:val="Normal"/>
              <w:widowControl w:val="false"/>
              <w:suppressAutoHyphens w:val="true"/>
              <w:spacing w:lineRule="auto" w:line="276" w:before="0" w:after="170"/>
              <w:ind w:left="0" w:right="0" w:hanging="0"/>
              <w:jc w:val="center"/>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tc>
        <w:tc>
          <w:tcPr>
            <w:tcW w:w="4193" w:type="dxa"/>
            <w:tcBorders>
              <w:top w:val="single" w:sz="4" w:space="0" w:color="000001"/>
              <w:left w:val="single" w:sz="4" w:space="0" w:color="000001"/>
              <w:bottom w:val="single" w:sz="4" w:space="0" w:color="000001"/>
              <w:right w:val="single" w:sz="4" w:space="0" w:color="000001"/>
            </w:tcBorders>
            <w:shd w:fill="auto" w:val="clear"/>
          </w:tcPr>
          <w:p>
            <w:pPr>
              <w:pStyle w:val="Normal"/>
              <w:spacing w:lineRule="auto" w:line="276" w:before="0" w:after="170"/>
              <w:ind w:left="0" w:right="0" w:hanging="0"/>
              <w:jc w:val="center"/>
              <w:rPr>
                <w:color w:val="000000"/>
              </w:rPr>
            </w:pPr>
            <w:r>
              <w:rPr>
                <w:rFonts w:cs="Arial" w:ascii="Times New Roman" w:hAnsi="Times New Roman"/>
                <w:bCs/>
                <w:i w:val="false"/>
                <w:iCs w:val="false"/>
                <w:color w:val="000000"/>
                <w:sz w:val="26"/>
                <w:szCs w:val="26"/>
              </w:rPr>
              <w:t>DESCRIÇÃO/</w:t>
            </w:r>
          </w:p>
          <w:p>
            <w:pPr>
              <w:pStyle w:val="Normal"/>
              <w:widowControl w:val="false"/>
              <w:suppressAutoHyphens w:val="true"/>
              <w:spacing w:lineRule="auto" w:line="276" w:before="0" w:after="170"/>
              <w:ind w:left="0" w:right="0" w:hanging="0"/>
              <w:jc w:val="center"/>
              <w:rPr>
                <w:color w:val="000000"/>
              </w:rPr>
            </w:pPr>
            <w:r>
              <w:rPr>
                <w:rFonts w:cs="Arial" w:ascii="Times New Roman" w:hAnsi="Times New Roman"/>
                <w:bCs/>
                <w:i w:val="false"/>
                <w:iCs w:val="false"/>
                <w:color w:val="000000"/>
                <w:sz w:val="26"/>
                <w:szCs w:val="26"/>
              </w:rPr>
              <w:t>ESPECIFICAÇÃO</w:t>
            </w:r>
          </w:p>
        </w:tc>
        <w:tc>
          <w:tcPr>
            <w:tcW w:w="105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jc w:val="center"/>
              <w:rPr>
                <w:color w:val="000000"/>
              </w:rPr>
            </w:pPr>
            <w:r>
              <w:rPr>
                <w:rFonts w:cs="Arial" w:ascii="Times New Roman" w:hAnsi="Times New Roman"/>
                <w:bCs/>
                <w:i w:val="false"/>
                <w:iCs w:val="false"/>
                <w:color w:val="000000"/>
                <w:sz w:val="26"/>
                <w:szCs w:val="26"/>
              </w:rPr>
              <w:t>Unidade de Medida</w:t>
            </w:r>
          </w:p>
        </w:tc>
        <w:tc>
          <w:tcPr>
            <w:tcW w:w="138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jc w:val="center"/>
              <w:rPr>
                <w:color w:val="000000"/>
              </w:rPr>
            </w:pPr>
            <w:r>
              <w:rPr>
                <w:rFonts w:cs="Arial" w:ascii="Times New Roman" w:hAnsi="Times New Roman"/>
                <w:bCs/>
                <w:i w:val="false"/>
                <w:iCs w:val="false"/>
                <w:color w:val="000000"/>
                <w:sz w:val="26"/>
                <w:szCs w:val="26"/>
              </w:rPr>
              <w:t>Quantidade</w:t>
            </w:r>
          </w:p>
        </w:tc>
        <w:tc>
          <w:tcPr>
            <w:tcW w:w="10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jc w:val="center"/>
              <w:rPr>
                <w:color w:val="000000"/>
              </w:rPr>
            </w:pPr>
            <w:r>
              <w:rPr>
                <w:rFonts w:cs="Arial" w:ascii="Times New Roman" w:hAnsi="Times New Roman"/>
                <w:bCs/>
                <w:i w:val="false"/>
                <w:iCs w:val="false"/>
                <w:color w:val="000000"/>
                <w:sz w:val="26"/>
                <w:szCs w:val="26"/>
              </w:rPr>
              <w:t xml:space="preserve">Valor Unitário </w:t>
            </w:r>
          </w:p>
        </w:tc>
      </w:tr>
      <w:tr>
        <w:trPr/>
        <w:tc>
          <w:tcPr>
            <w:tcW w:w="89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jc w:val="center"/>
              <w:rPr>
                <w:color w:val="000000"/>
              </w:rPr>
            </w:pPr>
            <w:r>
              <w:rPr>
                <w:rFonts w:cs="Arial" w:ascii="Times New Roman" w:hAnsi="Times New Roman"/>
                <w:i w:val="false"/>
                <w:iCs w:val="false"/>
                <w:color w:val="000000"/>
                <w:sz w:val="26"/>
                <w:szCs w:val="26"/>
              </w:rPr>
              <w:t>1</w:t>
            </w:r>
          </w:p>
        </w:tc>
        <w:tc>
          <w:tcPr>
            <w:tcW w:w="419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tc>
        <w:tc>
          <w:tcPr>
            <w:tcW w:w="105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tc>
        <w:tc>
          <w:tcPr>
            <w:tcW w:w="138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tc>
        <w:tc>
          <w:tcPr>
            <w:tcW w:w="10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tc>
      </w:tr>
      <w:tr>
        <w:trPr/>
        <w:tc>
          <w:tcPr>
            <w:tcW w:w="89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jc w:val="center"/>
              <w:rPr>
                <w:color w:val="000000"/>
              </w:rPr>
            </w:pPr>
            <w:r>
              <w:rPr>
                <w:rFonts w:cs="Arial" w:ascii="Times New Roman" w:hAnsi="Times New Roman"/>
                <w:i w:val="false"/>
                <w:iCs w:val="false"/>
                <w:color w:val="000000"/>
                <w:sz w:val="26"/>
                <w:szCs w:val="26"/>
              </w:rPr>
              <w:t>2</w:t>
            </w:r>
          </w:p>
        </w:tc>
        <w:tc>
          <w:tcPr>
            <w:tcW w:w="419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tc>
        <w:tc>
          <w:tcPr>
            <w:tcW w:w="105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tc>
        <w:tc>
          <w:tcPr>
            <w:tcW w:w="138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tc>
        <w:tc>
          <w:tcPr>
            <w:tcW w:w="10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tc>
      </w:tr>
      <w:tr>
        <w:trPr/>
        <w:tc>
          <w:tcPr>
            <w:tcW w:w="89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jc w:val="center"/>
              <w:rPr>
                <w:color w:val="000000"/>
              </w:rPr>
            </w:pPr>
            <w:r>
              <w:rPr>
                <w:rFonts w:cs="Arial" w:ascii="Times New Roman" w:hAnsi="Times New Roman"/>
                <w:i w:val="false"/>
                <w:iCs w:val="false"/>
                <w:color w:val="000000"/>
                <w:sz w:val="26"/>
                <w:szCs w:val="26"/>
              </w:rPr>
              <w:t>3</w:t>
            </w:r>
          </w:p>
        </w:tc>
        <w:tc>
          <w:tcPr>
            <w:tcW w:w="419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tc>
        <w:tc>
          <w:tcPr>
            <w:tcW w:w="105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tc>
        <w:tc>
          <w:tcPr>
            <w:tcW w:w="138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tc>
        <w:tc>
          <w:tcPr>
            <w:tcW w:w="10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tc>
      </w:tr>
      <w:tr>
        <w:trPr/>
        <w:tc>
          <w:tcPr>
            <w:tcW w:w="89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jc w:val="center"/>
              <w:rPr>
                <w:color w:val="000000"/>
              </w:rPr>
            </w:pPr>
            <w:r>
              <w:rPr>
                <w:rFonts w:cs="Arial" w:ascii="Times New Roman" w:hAnsi="Times New Roman"/>
                <w:i w:val="false"/>
                <w:iCs w:val="false"/>
                <w:color w:val="000000"/>
                <w:sz w:val="26"/>
                <w:szCs w:val="26"/>
              </w:rPr>
              <w:t>...</w:t>
            </w:r>
          </w:p>
        </w:tc>
        <w:tc>
          <w:tcPr>
            <w:tcW w:w="419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tc>
        <w:tc>
          <w:tcPr>
            <w:tcW w:w="105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tc>
        <w:tc>
          <w:tcPr>
            <w:tcW w:w="138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tc>
        <w:tc>
          <w:tcPr>
            <w:tcW w:w="10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tc>
      </w:tr>
    </w:tbl>
    <w:p>
      <w:pPr>
        <w:pStyle w:val="Normal"/>
        <w:spacing w:lineRule="auto" w:line="276" w:before="0" w:after="170"/>
        <w:ind w:left="0" w:right="0" w:hanging="0"/>
        <w:jc w:val="both"/>
        <w:rPr>
          <w:rFonts w:ascii="Times New Roman" w:hAnsi="Times New Roman" w:cs="Arial"/>
          <w:color w:val="000000"/>
          <w:sz w:val="26"/>
          <w:szCs w:val="26"/>
          <w:lang w:val="pt-BR"/>
        </w:rPr>
      </w:pPr>
      <w:r>
        <w:rPr>
          <w:rFonts w:cs="Arial" w:ascii="Times New Roman" w:hAnsi="Times New Roman"/>
          <w:color w:val="000000"/>
          <w:sz w:val="26"/>
          <w:szCs w:val="26"/>
          <w:lang w:val="pt-BR"/>
        </w:rPr>
      </w:r>
    </w:p>
    <w:p>
      <w:pPr>
        <w:pStyle w:val="Nivel2"/>
        <w:numPr>
          <w:ilvl w:val="1"/>
          <w:numId w:val="1"/>
        </w:numPr>
        <w:tabs>
          <w:tab w:val="clear" w:pos="708"/>
          <w:tab w:val="left" w:pos="709" w:leader="none"/>
        </w:tabs>
        <w:spacing w:lineRule="auto" w:line="276" w:before="0" w:after="170"/>
        <w:ind w:left="0" w:right="0" w:hanging="0"/>
        <w:rPr>
          <w:color w:val="000000"/>
        </w:rPr>
      </w:pPr>
      <w:r>
        <w:rPr>
          <w:rFonts w:cs="Arial" w:ascii="Times New Roman" w:hAnsi="Times New Roman"/>
          <w:i w:val="false"/>
          <w:iCs w:val="false"/>
          <w:color w:val="000000"/>
          <w:sz w:val="26"/>
          <w:szCs w:val="26"/>
        </w:rPr>
        <w:t>São anexos a este instrumento e vinculam esta contratação, independentemente de transcrição:</w:t>
      </w:r>
    </w:p>
    <w:p>
      <w:pPr>
        <w:pStyle w:val="Nivel3"/>
        <w:numPr>
          <w:ilvl w:val="2"/>
          <w:numId w:val="1"/>
        </w:numPr>
        <w:tabs>
          <w:tab w:val="left" w:pos="360" w:leader="none"/>
          <w:tab w:val="left" w:pos="709" w:leader="none"/>
          <w:tab w:val="left" w:pos="993" w:leader="none"/>
        </w:tabs>
        <w:spacing w:lineRule="auto" w:line="276" w:before="0" w:after="170"/>
        <w:ind w:left="0" w:right="0" w:hanging="0"/>
        <w:rPr>
          <w:color w:val="000000"/>
        </w:rPr>
      </w:pPr>
      <w:r>
        <w:rPr>
          <w:rFonts w:ascii="Times New Roman" w:hAnsi="Times New Roman"/>
          <w:i w:val="false"/>
          <w:iCs w:val="false"/>
          <w:color w:val="000000"/>
          <w:sz w:val="26"/>
          <w:szCs w:val="26"/>
        </w:rPr>
        <w:t>O Termo de Referência que embasou a contratação e eventuais anexos;</w:t>
      </w:r>
    </w:p>
    <w:p>
      <w:pPr>
        <w:pStyle w:val="Nivel3"/>
        <w:numPr>
          <w:ilvl w:val="2"/>
          <w:numId w:val="1"/>
        </w:numPr>
        <w:tabs>
          <w:tab w:val="left" w:pos="360" w:leader="none"/>
          <w:tab w:val="left" w:pos="709" w:leader="none"/>
          <w:tab w:val="left" w:pos="993" w:leader="none"/>
        </w:tabs>
        <w:spacing w:lineRule="auto" w:line="276" w:before="0" w:after="170"/>
        <w:ind w:left="0" w:right="0" w:hanging="0"/>
        <w:rPr>
          <w:color w:val="000000"/>
        </w:rPr>
      </w:pPr>
      <w:r>
        <w:rPr>
          <w:rFonts w:ascii="Times New Roman" w:hAnsi="Times New Roman"/>
          <w:i w:val="false"/>
          <w:iCs w:val="false"/>
          <w:color w:val="000000"/>
          <w:sz w:val="26"/>
          <w:szCs w:val="26"/>
        </w:rPr>
        <w:t>Autorização de Contratação Direta e/ou o Aviso de Dispensa Eletrônica, caso existentes; e</w:t>
      </w:r>
    </w:p>
    <w:p>
      <w:pPr>
        <w:pStyle w:val="Nivel3"/>
        <w:numPr>
          <w:ilvl w:val="2"/>
          <w:numId w:val="1"/>
        </w:numPr>
        <w:tabs>
          <w:tab w:val="left" w:pos="360" w:leader="none"/>
          <w:tab w:val="left" w:pos="709" w:leader="none"/>
          <w:tab w:val="left" w:pos="993" w:leader="none"/>
        </w:tabs>
        <w:spacing w:lineRule="auto" w:line="276" w:before="0" w:after="170"/>
        <w:ind w:left="0" w:right="0" w:hanging="0"/>
        <w:rPr>
          <w:color w:val="000000"/>
        </w:rPr>
      </w:pPr>
      <w:r>
        <w:rPr>
          <w:rFonts w:ascii="Times New Roman" w:hAnsi="Times New Roman"/>
          <w:i w:val="false"/>
          <w:iCs w:val="false"/>
          <w:color w:val="000000"/>
          <w:sz w:val="26"/>
          <w:szCs w:val="26"/>
        </w:rPr>
        <w:t>A Proposta do Contratado e seus eventuais anexos.</w:t>
      </w:r>
    </w:p>
    <w:p>
      <w:pPr>
        <w:pStyle w:val="Nivel2"/>
        <w:numPr>
          <w:ilvl w:val="1"/>
          <w:numId w:val="1"/>
        </w:numPr>
        <w:tabs>
          <w:tab w:val="clear" w:pos="708"/>
          <w:tab w:val="left" w:pos="709" w:leader="none"/>
        </w:tabs>
        <w:spacing w:lineRule="auto" w:line="276" w:before="0" w:after="170"/>
        <w:ind w:left="0" w:right="0" w:hanging="0"/>
        <w:rPr>
          <w:color w:val="000000"/>
        </w:rPr>
      </w:pPr>
      <w:r>
        <w:rPr>
          <w:rFonts w:cs="Arial" w:ascii="Times New Roman" w:hAnsi="Times New Roman"/>
          <w:i w:val="false"/>
          <w:iCs w:val="false"/>
          <w:color w:val="000000"/>
          <w:sz w:val="26"/>
          <w:szCs w:val="26"/>
        </w:rPr>
        <w:t>O regime de execução é o de empreitada por preço  unitário.</w:t>
      </w:r>
    </w:p>
    <w:p>
      <w:pPr>
        <w:pStyle w:val="Nivel01Titulo"/>
        <w:numPr>
          <w:ilvl w:val="0"/>
          <w:numId w:val="1"/>
        </w:numPr>
        <w:spacing w:lineRule="auto" w:line="276" w:before="0" w:after="170"/>
        <w:ind w:left="0" w:right="0" w:hanging="0"/>
        <w:rPr>
          <w:color w:val="000000"/>
        </w:rPr>
      </w:pPr>
      <w:r>
        <w:rPr>
          <w:rFonts w:cs="Arial" w:ascii="Times New Roman" w:hAnsi="Times New Roman"/>
          <w:i w:val="false"/>
          <w:iCs w:val="false"/>
          <w:color w:val="000000"/>
          <w:sz w:val="26"/>
          <w:szCs w:val="26"/>
        </w:rPr>
        <w:t>CLÁUSULA SEGUNDA – VIGÊNCIA E PRORROGAÇÃO.</w:t>
      </w:r>
    </w:p>
    <w:p>
      <w:pPr>
        <w:pStyle w:val="Nivel01"/>
        <w:numPr>
          <w:ilvl w:val="1"/>
          <w:numId w:val="1"/>
        </w:numPr>
        <w:spacing w:lineRule="auto" w:line="276" w:before="0" w:after="170"/>
        <w:ind w:left="0" w:right="0" w:hanging="0"/>
        <w:jc w:val="both"/>
        <w:rPr>
          <w:color w:val="000000"/>
        </w:rPr>
      </w:pPr>
      <w:r>
        <w:rPr>
          <w:rFonts w:cs="Arial" w:ascii="Times New Roman" w:hAnsi="Times New Roman"/>
          <w:bCs/>
          <w:i w:val="false"/>
          <w:iCs w:val="false"/>
          <w:color w:val="000000"/>
          <w:sz w:val="26"/>
          <w:szCs w:val="26"/>
        </w:rPr>
        <w:t xml:space="preserve">O prazo de vigência da contratação é de </w:t>
      </w:r>
      <w:r>
        <w:rPr>
          <w:rFonts w:cs="Arial" w:ascii="Times New Roman" w:hAnsi="Times New Roman"/>
          <w:bCs/>
          <w:i w:val="false"/>
          <w:iCs w:val="false"/>
          <w:color w:val="000000"/>
          <w:sz w:val="26"/>
          <w:szCs w:val="26"/>
          <w:u w:val="single"/>
        </w:rPr>
        <w:t>250 dias (correspondentes ao de execução, acrescido de 7 dias de mobilização, antes do início da execução, e de 180 dias depois término da execução, compreendendo 15 dias de prazo de entrega provisória, 90 dias de prazo de entrega definitiva e 75 dias de prazo para medidas administrativas, como elaboração de reequilíbrios, termos aditivos, apostilamentos e paralisações eventuais por necessidade da organização militar)</w:t>
      </w:r>
      <w:r>
        <w:rPr>
          <w:rFonts w:cs="Arial" w:ascii="Times New Roman" w:hAnsi="Times New Roman"/>
          <w:bCs/>
          <w:i w:val="false"/>
          <w:iCs w:val="false"/>
          <w:color w:val="000000"/>
          <w:sz w:val="26"/>
          <w:szCs w:val="26"/>
        </w:rPr>
        <w:t xml:space="preserve"> contados da </w:t>
      </w:r>
      <w:r>
        <w:rPr>
          <w:rFonts w:cs="Arial" w:ascii="Times New Roman" w:hAnsi="Times New Roman"/>
          <w:bCs/>
          <w:i w:val="false"/>
          <w:iCs w:val="false"/>
          <w:color w:val="000000"/>
          <w:sz w:val="26"/>
          <w:szCs w:val="26"/>
          <w:u w:val="single"/>
        </w:rPr>
        <w:t>Ordem de Serviço</w:t>
      </w:r>
      <w:r>
        <w:rPr>
          <w:rFonts w:cs="Arial" w:ascii="Times New Roman" w:hAnsi="Times New Roman"/>
          <w:bCs/>
          <w:i w:val="false"/>
          <w:iCs w:val="false"/>
          <w:color w:val="000000"/>
          <w:sz w:val="26"/>
          <w:szCs w:val="26"/>
        </w:rPr>
        <w:t xml:space="preserve"> na forma do artigo 105 da Lei n° 14.133, de 2021.</w:t>
      </w:r>
    </w:p>
    <w:p>
      <w:pPr>
        <w:pStyle w:val="Normal"/>
        <w:numPr>
          <w:ilvl w:val="2"/>
          <w:numId w:val="1"/>
        </w:numPr>
        <w:spacing w:lineRule="auto" w:line="276" w:before="0" w:after="170"/>
        <w:ind w:left="0" w:right="0" w:hanging="0"/>
        <w:jc w:val="both"/>
        <w:rPr>
          <w:color w:val="000000"/>
        </w:rPr>
      </w:pPr>
      <w:r>
        <w:rPr>
          <w:rFonts w:cs="Arial" w:ascii="Times New Roman" w:hAnsi="Times New Roman"/>
          <w:bCs/>
          <w:i w:val="false"/>
          <w:iCs w:val="false"/>
          <w:color w:val="000000"/>
          <w:sz w:val="26"/>
          <w:szCs w:val="26"/>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Titulo"/>
        <w:numPr>
          <w:ilvl w:val="0"/>
          <w:numId w:val="1"/>
        </w:numPr>
        <w:spacing w:lineRule="auto" w:line="276" w:before="0" w:after="170"/>
        <w:ind w:left="0" w:right="0" w:hanging="0"/>
        <w:rPr>
          <w:color w:val="000000"/>
        </w:rPr>
      </w:pPr>
      <w:r>
        <w:rPr>
          <w:rFonts w:cs="Arial" w:ascii="Times New Roman" w:hAnsi="Times New Roman"/>
          <w:i w:val="false"/>
          <w:iCs w:val="false"/>
          <w:color w:val="000000"/>
          <w:sz w:val="26"/>
          <w:szCs w:val="26"/>
        </w:rPr>
        <w:t>CLÁUSULA TERCEIRA – MODELOS DE EXECUÇÃO E GESTÃO CONTRATUAIS (art. 92, IV, VII e XVIII)</w:t>
      </w:r>
    </w:p>
    <w:p>
      <w:pPr>
        <w:pStyle w:val="Normal"/>
        <w:numPr>
          <w:ilvl w:val="1"/>
          <w:numId w:val="1"/>
        </w:numPr>
        <w:spacing w:lineRule="auto" w:line="276" w:before="0" w:after="170"/>
        <w:ind w:left="0" w:right="0" w:hanging="0"/>
        <w:jc w:val="both"/>
        <w:rPr>
          <w:color w:val="000000"/>
        </w:rPr>
      </w:pPr>
      <w:r>
        <w:rPr>
          <w:rFonts w:cs="Arial" w:ascii="Times New Roman" w:hAnsi="Times New Roman"/>
          <w:i w:val="false"/>
          <w:iCs w:val="false"/>
          <w:color w:val="000000"/>
          <w:sz w:val="26"/>
          <w:szCs w:val="26"/>
        </w:rPr>
        <w:t>O regime de execução contratual, o modelo de gestão, assim como os prazos e condições de conclusão, entrega, observação e recebimento definitivo constam no Termo de Referência, anexo a este Contrato.</w:t>
      </w:r>
    </w:p>
    <w:p>
      <w:pPr>
        <w:pStyle w:val="Normal"/>
        <w:numPr>
          <w:ilvl w:val="1"/>
          <w:numId w:val="1"/>
        </w:numPr>
        <w:spacing w:lineRule="auto" w:line="276" w:before="0" w:after="170"/>
        <w:ind w:left="0" w:right="0" w:hanging="0"/>
        <w:jc w:val="both"/>
        <w:rPr>
          <w:color w:val="000000"/>
        </w:rPr>
      </w:pPr>
      <w:r>
        <w:rPr>
          <w:rFonts w:cs="Arial" w:ascii="Times New Roman" w:hAnsi="Times New Roman"/>
          <w:b/>
          <w:i w:val="false"/>
          <w:iCs w:val="false"/>
          <w:color w:val="000000"/>
          <w:sz w:val="26"/>
          <w:szCs w:val="26"/>
        </w:rPr>
        <w:t>MATRIZ DE RISCO:</w:t>
      </w:r>
    </w:p>
    <w:p>
      <w:pPr>
        <w:pStyle w:val="Normal"/>
        <w:numPr>
          <w:ilvl w:val="1"/>
          <w:numId w:val="1"/>
        </w:numPr>
        <w:spacing w:lineRule="auto" w:line="276" w:before="0" w:after="170"/>
        <w:ind w:left="0" w:right="0" w:hanging="0"/>
        <w:jc w:val="both"/>
        <w:rPr>
          <w:color w:val="000000"/>
        </w:rPr>
      </w:pPr>
      <w:r>
        <w:rPr>
          <w:rFonts w:cs="Arial" w:ascii="Times New Roman" w:hAnsi="Times New Roman"/>
          <w:i w:val="false"/>
          <w:iCs w:val="false"/>
          <w:color w:val="000000"/>
          <w:sz w:val="26"/>
          <w:szCs w:val="26"/>
        </w:rPr>
        <w:t>As informações constam no mapa de risco anexa ao processo</w:t>
      </w:r>
      <w:r>
        <w:rPr>
          <w:rFonts w:cs="Arial" w:ascii="Times New Roman" w:hAnsi="Times New Roman"/>
          <w:bCs/>
          <w:i w:val="false"/>
          <w:iCs w:val="false"/>
          <w:color w:val="000000"/>
          <w:sz w:val="26"/>
          <w:szCs w:val="26"/>
          <w:lang w:val="pt-BR"/>
        </w:rPr>
        <w:t xml:space="preserve">. </w:t>
      </w:r>
    </w:p>
    <w:p>
      <w:pPr>
        <w:pStyle w:val="Nivel01Titulo"/>
        <w:numPr>
          <w:ilvl w:val="0"/>
          <w:numId w:val="1"/>
        </w:numPr>
        <w:spacing w:lineRule="auto" w:line="276" w:before="0" w:after="170"/>
        <w:ind w:left="0" w:right="0" w:hanging="0"/>
        <w:rPr>
          <w:color w:val="000000"/>
        </w:rPr>
      </w:pPr>
      <w:r>
        <w:rPr>
          <w:rFonts w:cs="Arial" w:ascii="Times New Roman" w:hAnsi="Times New Roman"/>
          <w:i w:val="false"/>
          <w:iCs w:val="false"/>
          <w:color w:val="000000"/>
          <w:sz w:val="26"/>
          <w:szCs w:val="26"/>
        </w:rPr>
        <w:t xml:space="preserve">CLÁUSULA QUARTA - SUBCONTRATAÇÃO </w:t>
      </w:r>
    </w:p>
    <w:p>
      <w:pPr>
        <w:pStyle w:val="Normal"/>
        <w:spacing w:lineRule="auto" w:line="276" w:before="0" w:after="170"/>
        <w:ind w:left="0" w:right="0" w:hanging="0"/>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p>
      <w:pPr>
        <w:pStyle w:val="Normal"/>
        <w:numPr>
          <w:ilvl w:val="1"/>
          <w:numId w:val="9"/>
        </w:numPr>
        <w:spacing w:lineRule="auto" w:line="276" w:before="0" w:after="170"/>
        <w:ind w:left="0" w:right="0" w:hanging="0"/>
        <w:jc w:val="both"/>
        <w:rPr>
          <w:color w:val="000000"/>
        </w:rPr>
      </w:pPr>
      <w:r>
        <w:rPr>
          <w:rFonts w:cs="Arial" w:ascii="Times New Roman" w:hAnsi="Times New Roman"/>
          <w:i w:val="false"/>
          <w:iCs w:val="false"/>
          <w:color w:val="000000"/>
          <w:sz w:val="26"/>
          <w:szCs w:val="26"/>
        </w:rPr>
        <w:t>É permitida a subcontratação parcial do objeto, até o limite de 30 % do valor total do contrato, nas seguintes condições:</w:t>
      </w:r>
    </w:p>
    <w:p>
      <w:pPr>
        <w:pStyle w:val="ListParagraph"/>
        <w:numPr>
          <w:ilvl w:val="2"/>
          <w:numId w:val="2"/>
        </w:numPr>
        <w:spacing w:lineRule="auto" w:line="276" w:before="0" w:after="170"/>
        <w:ind w:left="0" w:right="0" w:hanging="0"/>
        <w:contextualSpacing/>
        <w:jc w:val="both"/>
        <w:rPr>
          <w:color w:val="000000"/>
        </w:rPr>
      </w:pPr>
      <w:r>
        <w:rPr>
          <w:rFonts w:cs="Arial" w:ascii="Times New Roman" w:hAnsi="Times New Roman"/>
          <w:i w:val="false"/>
          <w:iCs w:val="false"/>
          <w:color w:val="000000"/>
          <w:sz w:val="26"/>
          <w:szCs w:val="26"/>
        </w:rPr>
        <w:t xml:space="preserve">É vedada a subcontratação completa ou da parcela principal da obrigação abaixo discriminada: </w:t>
      </w:r>
    </w:p>
    <w:p>
      <w:pPr>
        <w:pStyle w:val="ListParagraph"/>
        <w:numPr>
          <w:ilvl w:val="0"/>
          <w:numId w:val="0"/>
        </w:numPr>
        <w:spacing w:lineRule="auto" w:line="276" w:before="0" w:after="170"/>
        <w:ind w:left="0" w:right="0" w:hanging="0"/>
        <w:contextualSpacing/>
        <w:jc w:val="both"/>
        <w:rPr>
          <w:rFonts w:ascii="Times New Roman" w:hAnsi="Times New Roman" w:eastAsia="Calibri" w:cs="Arial"/>
          <w:color w:val="000000"/>
          <w:sz w:val="26"/>
          <w:szCs w:val="26"/>
        </w:rPr>
      </w:pPr>
      <w:r>
        <w:rPr>
          <w:rFonts w:eastAsia="Calibri" w:cs="Arial" w:ascii="Times New Roman" w:hAnsi="Times New Roman"/>
          <w:color w:val="000000"/>
          <w:sz w:val="26"/>
          <w:szCs w:val="26"/>
        </w:rPr>
      </w:r>
    </w:p>
    <w:p>
      <w:pPr>
        <w:pStyle w:val="ListParagraph"/>
        <w:numPr>
          <w:ilvl w:val="2"/>
          <w:numId w:val="2"/>
        </w:numPr>
        <w:spacing w:lineRule="auto" w:line="276" w:before="0" w:after="170"/>
        <w:ind w:left="0" w:right="0" w:hanging="0"/>
        <w:contextualSpacing/>
        <w:rPr>
          <w:color w:val="000000"/>
        </w:rPr>
      </w:pPr>
      <w:r>
        <w:rPr>
          <w:rFonts w:cs="Arial" w:ascii="Times New Roman" w:hAnsi="Times New Roman"/>
          <w:i w:val="false"/>
          <w:iCs w:val="false"/>
          <w:color w:val="000000"/>
          <w:sz w:val="26"/>
          <w:szCs w:val="26"/>
        </w:rPr>
        <w:t xml:space="preserve">Poderão ser subcontratadas as seguintes parcelas do objeto: </w:t>
      </w:r>
    </w:p>
    <w:p>
      <w:pPr>
        <w:pStyle w:val="Ttulo3"/>
        <w:numPr>
          <w:ilvl w:val="2"/>
          <w:numId w:val="8"/>
        </w:numPr>
        <w:spacing w:lineRule="auto" w:line="276" w:before="0" w:after="170"/>
        <w:ind w:left="0" w:right="0" w:hanging="0"/>
        <w:rPr>
          <w:color w:val="000000"/>
        </w:rPr>
      </w:pPr>
      <w:r>
        <w:rPr>
          <w:rFonts w:ascii="Times New Roman" w:hAnsi="Times New Roman"/>
          <w:i w:val="false"/>
          <w:iCs w:val="false"/>
          <w:color w:val="000000"/>
          <w:sz w:val="26"/>
          <w:szCs w:val="26"/>
          <w:u w:val="single"/>
        </w:rPr>
        <w:t>Serviços técnico-profissionais especializados;</w:t>
      </w:r>
    </w:p>
    <w:p>
      <w:pPr>
        <w:pStyle w:val="Ttulo3"/>
        <w:numPr>
          <w:ilvl w:val="2"/>
          <w:numId w:val="8"/>
        </w:numPr>
        <w:spacing w:lineRule="auto" w:line="276" w:before="0" w:after="170"/>
        <w:ind w:left="0" w:right="0" w:hanging="0"/>
        <w:rPr>
          <w:color w:val="000000"/>
        </w:rPr>
      </w:pPr>
      <w:r>
        <w:rPr>
          <w:rFonts w:ascii="Times New Roman" w:hAnsi="Times New Roman"/>
          <w:i w:val="false"/>
          <w:iCs w:val="false"/>
          <w:color w:val="000000"/>
          <w:sz w:val="26"/>
          <w:szCs w:val="26"/>
          <w:u w:val="single"/>
        </w:rPr>
        <w:t>Serviços ou fornecimento de materiais/equipamentos cuja instalação depende de mão de obra especializada; e</w:t>
      </w:r>
    </w:p>
    <w:p>
      <w:pPr>
        <w:pStyle w:val="Ttulo3"/>
        <w:numPr>
          <w:ilvl w:val="2"/>
          <w:numId w:val="8"/>
        </w:numPr>
        <w:spacing w:lineRule="auto" w:line="276" w:before="0" w:after="170"/>
        <w:ind w:left="0" w:right="0" w:hanging="0"/>
        <w:rPr>
          <w:color w:val="000000"/>
        </w:rPr>
      </w:pPr>
      <w:r>
        <w:rPr>
          <w:rFonts w:cs="Arial" w:ascii="Times New Roman" w:hAnsi="Times New Roman"/>
          <w:i w:val="false"/>
          <w:iCs w:val="false"/>
          <w:color w:val="000000"/>
          <w:sz w:val="26"/>
          <w:szCs w:val="26"/>
          <w:u w:val="single"/>
        </w:rPr>
        <w:t>Fornecimento de mão de obra especializada.</w:t>
      </w:r>
    </w:p>
    <w:p>
      <w:pPr>
        <w:pStyle w:val="ListParagraph"/>
        <w:numPr>
          <w:ilvl w:val="2"/>
          <w:numId w:val="2"/>
        </w:numPr>
        <w:spacing w:lineRule="auto" w:line="276" w:before="0" w:after="170"/>
        <w:ind w:left="0" w:right="0" w:hanging="0"/>
        <w:contextualSpacing/>
        <w:jc w:val="both"/>
        <w:rPr>
          <w:color w:val="000000"/>
        </w:rPr>
      </w:pPr>
      <w:r>
        <w:rPr>
          <w:rFonts w:cs="Arial" w:ascii="Times New Roman" w:hAnsi="Times New Roman"/>
          <w:i w:val="false"/>
          <w:iCs w:val="false"/>
          <w:color w:val="000000"/>
          <w:sz w:val="26"/>
          <w:szCs w:val="26"/>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pPr>
        <w:pStyle w:val="Normal"/>
        <w:numPr>
          <w:ilvl w:val="1"/>
          <w:numId w:val="2"/>
        </w:numPr>
        <w:spacing w:lineRule="auto" w:line="276" w:before="0" w:after="170"/>
        <w:ind w:left="0" w:right="0" w:hanging="0"/>
        <w:jc w:val="both"/>
        <w:rPr>
          <w:color w:val="000000"/>
        </w:rPr>
      </w:pPr>
      <w:r>
        <w:rPr>
          <w:rFonts w:cs="Arial" w:ascii="Times New Roman" w:hAnsi="Times New Roman"/>
          <w:i w:val="false"/>
          <w:iCs w:val="false"/>
          <w:color w:val="000000"/>
          <w:sz w:val="26"/>
          <w:szCs w:val="26"/>
        </w:rPr>
        <w:t>A subcontratação depende de autorização prévia do contratante, a quem incumbe avaliar se o subcontratado cumpre os requisitos de qualificação técnica necessários para a execução do objeto.</w:t>
      </w:r>
    </w:p>
    <w:p>
      <w:pPr>
        <w:pStyle w:val="ListParagraph"/>
        <w:numPr>
          <w:ilvl w:val="2"/>
          <w:numId w:val="3"/>
        </w:numPr>
        <w:spacing w:lineRule="auto" w:line="276" w:before="0" w:after="170"/>
        <w:ind w:left="0" w:right="0" w:hanging="0"/>
        <w:contextualSpacing/>
        <w:jc w:val="both"/>
        <w:rPr>
          <w:color w:val="000000"/>
        </w:rPr>
      </w:pPr>
      <w:r>
        <w:rPr>
          <w:rFonts w:cs="Arial" w:ascii="Times New Roman" w:hAnsi="Times New Roman"/>
          <w:i w:val="false"/>
          <w:iCs w:val="false"/>
          <w:color w:val="000000"/>
          <w:sz w:val="26"/>
          <w:szCs w:val="26"/>
        </w:rPr>
        <w:t>O contratado apresentará à Administração documentação que comprove a capacidade técnica do subcontratado, que será avaliada e juntada aos autos do processo correspondente.</w:t>
      </w:r>
    </w:p>
    <w:p>
      <w:pPr>
        <w:pStyle w:val="Normal"/>
        <w:numPr>
          <w:ilvl w:val="1"/>
          <w:numId w:val="3"/>
        </w:numPr>
        <w:spacing w:lineRule="auto" w:line="276" w:before="0" w:after="170"/>
        <w:ind w:left="0" w:right="0" w:hanging="0"/>
        <w:jc w:val="both"/>
        <w:rPr>
          <w:color w:val="000000"/>
        </w:rPr>
      </w:pPr>
      <w:r>
        <w:rPr>
          <w:rFonts w:cs="Arial" w:ascii="Times New Roman" w:hAnsi="Times New Roman"/>
          <w:i w:val="false"/>
          <w:iCs w:val="false"/>
          <w:color w:val="000000"/>
          <w:sz w:val="26"/>
          <w:szCs w:val="26"/>
        </w:rPr>
        <w:t>Em qualquer hipótese de subcontratação, permanece a responsabilidade integral do contratado pela perfeita execução contratual, cabendo-lhe realizar a supervisão e coordenação das atividades da subcontratada, bem como responder perante o contratante pelo rigoroso cumprimento das obrigações contratuais correspondentes ao objeto da subcontratação.</w:t>
      </w:r>
    </w:p>
    <w:p>
      <w:pPr>
        <w:pStyle w:val="Normal"/>
        <w:numPr>
          <w:ilvl w:val="1"/>
          <w:numId w:val="3"/>
        </w:numPr>
        <w:spacing w:lineRule="auto" w:line="276" w:before="0" w:after="170"/>
        <w:ind w:left="0" w:right="0" w:hanging="0"/>
        <w:jc w:val="both"/>
        <w:rPr>
          <w:color w:val="000000"/>
        </w:rPr>
      </w:pPr>
      <w:r>
        <w:rPr>
          <w:rFonts w:cs="Arial" w:ascii="Times New Roman" w:hAnsi="Times New Roman"/>
          <w:i w:val="false"/>
          <w:iCs w:val="false"/>
          <w:color w:val="000000"/>
          <w:sz w:val="26"/>
          <w:szCs w:val="26"/>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pPr>
        <w:pStyle w:val="Nivel01Titulo"/>
        <w:numPr>
          <w:ilvl w:val="0"/>
          <w:numId w:val="1"/>
        </w:numPr>
        <w:spacing w:lineRule="auto" w:line="276" w:before="0" w:after="170"/>
        <w:ind w:left="0" w:right="0" w:hanging="0"/>
        <w:rPr>
          <w:color w:val="000000"/>
        </w:rPr>
      </w:pPr>
      <w:r>
        <w:rPr>
          <w:rFonts w:cs="Arial" w:ascii="Times New Roman" w:hAnsi="Times New Roman"/>
          <w:i w:val="false"/>
          <w:iCs w:val="false"/>
          <w:color w:val="000000"/>
          <w:sz w:val="26"/>
          <w:szCs w:val="26"/>
        </w:rPr>
        <w:t>CLÁUSULA QUINTA – PAGAMENTO (art. 92, V e VI)</w:t>
      </w:r>
    </w:p>
    <w:p>
      <w:pPr>
        <w:pStyle w:val="Normal"/>
        <w:numPr>
          <w:ilvl w:val="1"/>
          <w:numId w:val="1"/>
        </w:numPr>
        <w:spacing w:lineRule="auto" w:line="276" w:before="0" w:after="170"/>
        <w:ind w:left="0" w:right="0" w:hanging="0"/>
        <w:jc w:val="both"/>
        <w:rPr>
          <w:color w:val="000000"/>
        </w:rPr>
      </w:pPr>
      <w:r>
        <w:rPr>
          <w:rFonts w:cs="Arial" w:ascii="Times New Roman" w:hAnsi="Times New Roman"/>
          <w:b/>
          <w:i w:val="false"/>
          <w:iCs w:val="false"/>
          <w:color w:val="000000" w:themeShade="bf"/>
          <w:sz w:val="26"/>
          <w:szCs w:val="26"/>
        </w:rPr>
        <w:t>PREÇO</w:t>
      </w:r>
    </w:p>
    <w:p>
      <w:pPr>
        <w:pStyle w:val="Normal"/>
        <w:numPr>
          <w:ilvl w:val="2"/>
          <w:numId w:val="1"/>
        </w:numPr>
        <w:spacing w:lineRule="auto" w:line="276" w:before="0" w:after="170"/>
        <w:ind w:left="0" w:right="0" w:hanging="0"/>
        <w:jc w:val="both"/>
        <w:rPr>
          <w:color w:val="000000"/>
        </w:rPr>
      </w:pPr>
      <w:r>
        <w:rPr>
          <w:rFonts w:cs="Arial" w:ascii="Times New Roman" w:hAnsi="Times New Roman"/>
          <w:bCs/>
          <w:i w:val="false"/>
          <w:iCs w:val="false"/>
          <w:color w:val="000000"/>
          <w:sz w:val="26"/>
          <w:szCs w:val="26"/>
        </w:rPr>
        <w:t>O valor total da contratação é de R$ 69.841,10 (Sessenta e nove mil, oitocentos e quarenta e um reais e dez centavos).</w:t>
      </w:r>
    </w:p>
    <w:p>
      <w:pPr>
        <w:pStyle w:val="Normal"/>
        <w:numPr>
          <w:ilvl w:val="2"/>
          <w:numId w:val="1"/>
        </w:numPr>
        <w:spacing w:lineRule="auto" w:line="276" w:before="0" w:after="170"/>
        <w:ind w:left="0" w:right="0" w:hanging="0"/>
        <w:jc w:val="both"/>
        <w:rPr>
          <w:color w:val="000000"/>
        </w:rPr>
      </w:pPr>
      <w:r>
        <w:rPr>
          <w:rFonts w:cs="Arial" w:ascii="Times New Roman" w:hAnsi="Times New Roman"/>
          <w:i w:val="false"/>
          <w:iCs w:val="false"/>
          <w:color w:val="000000"/>
          <w:sz w:val="26"/>
          <w:szCs w:val="26"/>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ormal"/>
        <w:numPr>
          <w:ilvl w:val="2"/>
          <w:numId w:val="1"/>
        </w:numPr>
        <w:spacing w:lineRule="auto" w:line="276" w:before="0" w:after="170"/>
        <w:ind w:left="0" w:right="0" w:hanging="0"/>
        <w:jc w:val="both"/>
        <w:rPr>
          <w:color w:val="000000"/>
        </w:rPr>
      </w:pPr>
      <w:r>
        <w:rPr>
          <w:rFonts w:cs="Arial" w:ascii="Times New Roman" w:hAnsi="Times New Roman"/>
          <w:i w:val="false"/>
          <w:iCs w:val="false"/>
          <w:color w:val="000000"/>
          <w:sz w:val="26"/>
          <w:szCs w:val="26"/>
        </w:rPr>
        <w:t>O valor acima é meramente estimativo, de forma que os pagamentos devidos ao contratado dependerão dos quantitativos de serviços efetivamente prestados.</w:t>
      </w:r>
    </w:p>
    <w:p>
      <w:pPr>
        <w:pStyle w:val="Normal"/>
        <w:numPr>
          <w:ilvl w:val="1"/>
          <w:numId w:val="1"/>
        </w:numPr>
        <w:spacing w:lineRule="auto" w:line="276" w:before="0" w:after="170"/>
        <w:ind w:left="0" w:right="0" w:hanging="0"/>
        <w:jc w:val="both"/>
        <w:rPr>
          <w:color w:val="000000"/>
        </w:rPr>
      </w:pPr>
      <w:r>
        <w:rPr>
          <w:rFonts w:cs="Arial" w:ascii="Times New Roman" w:hAnsi="Times New Roman"/>
          <w:b/>
          <w:i w:val="false"/>
          <w:iCs w:val="false"/>
          <w:color w:val="000000" w:themeShade="bf"/>
          <w:sz w:val="26"/>
          <w:szCs w:val="26"/>
        </w:rPr>
        <w:t>PAGAMENTO</w:t>
      </w:r>
    </w:p>
    <w:p>
      <w:pPr>
        <w:pStyle w:val="Normal"/>
        <w:numPr>
          <w:ilvl w:val="1"/>
          <w:numId w:val="1"/>
        </w:numPr>
        <w:spacing w:lineRule="auto" w:line="276" w:before="0" w:after="170"/>
        <w:ind w:left="0" w:right="0" w:hanging="0"/>
        <w:jc w:val="both"/>
        <w:rPr>
          <w:color w:val="000000"/>
        </w:rPr>
      </w:pPr>
      <w:r>
        <w:rPr>
          <w:rFonts w:cs="Arial" w:ascii="Times New Roman" w:hAnsi="Times New Roman"/>
          <w:i w:val="false"/>
          <w:iCs w:val="false"/>
          <w:color w:val="000000"/>
          <w:sz w:val="26"/>
          <w:szCs w:val="26"/>
        </w:rPr>
        <w:t xml:space="preserve">O prazo para pagamento </w:t>
      </w:r>
      <w:r>
        <w:rPr>
          <w:rFonts w:cs="Arial" w:ascii="Times New Roman" w:hAnsi="Times New Roman"/>
          <w:i w:val="false"/>
          <w:iCs w:val="false"/>
          <w:color w:val="000000"/>
          <w:sz w:val="26"/>
          <w:szCs w:val="26"/>
          <w:lang w:eastAsia="en-US"/>
        </w:rPr>
        <w:t>ao contratado</w:t>
      </w:r>
      <w:r>
        <w:rPr>
          <w:rFonts w:cs="Arial" w:ascii="Times New Roman" w:hAnsi="Times New Roman"/>
          <w:i w:val="false"/>
          <w:iCs w:val="false"/>
          <w:color w:val="000000"/>
          <w:sz w:val="26"/>
          <w:szCs w:val="26"/>
        </w:rPr>
        <w:t xml:space="preserve"> e demais condições a ele referentes encontram-se definidos no Termo de Referência, anexo a este Contrato</w:t>
      </w:r>
    </w:p>
    <w:p>
      <w:pPr>
        <w:pStyle w:val="Nivel01"/>
        <w:numPr>
          <w:ilvl w:val="1"/>
          <w:numId w:val="1"/>
        </w:numPr>
        <w:spacing w:lineRule="auto" w:line="276" w:before="0" w:after="170"/>
        <w:ind w:left="0" w:right="0" w:hanging="0"/>
        <w:jc w:val="both"/>
        <w:rPr>
          <w:color w:val="000000"/>
        </w:rPr>
      </w:pPr>
      <w:r>
        <w:rPr>
          <w:rFonts w:cs="Arial" w:ascii="Times New Roman" w:hAnsi="Times New Roman"/>
          <w:b/>
          <w:i w:val="false"/>
          <w:iCs w:val="false"/>
          <w:color w:val="000000" w:themeShade="bf"/>
          <w:sz w:val="26"/>
          <w:szCs w:val="26"/>
        </w:rPr>
        <w:t>REAJUSTE</w:t>
      </w:r>
    </w:p>
    <w:p>
      <w:pPr>
        <w:pStyle w:val="Nivel2"/>
        <w:numPr>
          <w:ilvl w:val="1"/>
          <w:numId w:val="1"/>
        </w:numPr>
        <w:spacing w:lineRule="auto" w:line="276" w:before="0" w:after="170"/>
        <w:ind w:left="0" w:right="0" w:hanging="0"/>
        <w:jc w:val="both"/>
        <w:rPr>
          <w:color w:val="000000"/>
        </w:rPr>
      </w:pPr>
      <w:r>
        <w:rPr>
          <w:rFonts w:cs="Arial" w:ascii="Times New Roman" w:hAnsi="Times New Roman"/>
          <w:b w:val="false"/>
          <w:bCs w:val="false"/>
          <w:i w:val="false"/>
          <w:iCs w:val="false"/>
          <w:color w:val="000000" w:themeShade="bf"/>
          <w:sz w:val="26"/>
          <w:szCs w:val="26"/>
        </w:rPr>
        <w:t>Os preços inicialmente contratados são fixos e irreajustáveis no prazo de um ano contado da data do orçamento estimado.</w:t>
      </w:r>
    </w:p>
    <w:p>
      <w:pPr>
        <w:pStyle w:val="Nivel2"/>
        <w:numPr>
          <w:ilvl w:val="1"/>
          <w:numId w:val="1"/>
        </w:numPr>
        <w:spacing w:lineRule="auto" w:line="276" w:before="0" w:after="170"/>
        <w:ind w:left="0" w:right="0" w:hanging="0"/>
        <w:jc w:val="both"/>
        <w:rPr>
          <w:color w:val="000000"/>
        </w:rPr>
      </w:pPr>
      <w:r>
        <w:rPr>
          <w:rFonts w:cs="Arial" w:ascii="Times New Roman" w:hAnsi="Times New Roman"/>
          <w:b/>
          <w:i w:val="false"/>
          <w:iCs w:val="false"/>
          <w:color w:val="000000" w:themeShade="bf"/>
          <w:sz w:val="26"/>
          <w:szCs w:val="26"/>
        </w:rPr>
        <w:t>O orçamento estimado pela Administração baseou-se</w:t>
      </w:r>
      <w:r>
        <w:rPr>
          <w:rFonts w:cs="Arial" w:ascii="Times New Roman" w:hAnsi="Times New Roman"/>
          <w:b/>
          <w:i w:val="false"/>
          <w:iCs w:val="false"/>
          <w:color w:val="000000"/>
          <w:sz w:val="26"/>
          <w:szCs w:val="26"/>
        </w:rPr>
        <w:t xml:space="preserve"> </w:t>
      </w:r>
      <w:r>
        <w:rPr>
          <w:rFonts w:cs="Arial" w:ascii="Times New Roman" w:hAnsi="Times New Roman"/>
          <w:b/>
          <w:i w:val="false"/>
          <w:iCs w:val="false"/>
          <w:color w:val="000000" w:themeShade="bf"/>
          <w:sz w:val="26"/>
          <w:szCs w:val="26"/>
        </w:rPr>
        <w:t xml:space="preserve">nas planilhas referenciais  </w:t>
      </w:r>
      <w:r>
        <w:rPr>
          <w:rFonts w:cs="Arial" w:ascii="Times New Roman" w:hAnsi="Times New Roman"/>
          <w:b/>
          <w:i/>
          <w:iCs w:val="false"/>
          <w:color w:val="000000"/>
          <w:sz w:val="26"/>
          <w:szCs w:val="26"/>
        </w:rPr>
        <w:t>elaboradas com base no SINAPI do mês Agosto  do ano de 2023</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 xml:space="preserve">Após o interregno de um ano, </w:t>
      </w:r>
      <w:r>
        <w:rPr>
          <w:rFonts w:ascii="Times New Roman" w:hAnsi="Times New Roman"/>
          <w:color w:val="000000" w:themeColor="text1"/>
          <w:sz w:val="26"/>
          <w:szCs w:val="26"/>
        </w:rPr>
        <w:t>independentemente de pedido do contratado</w:t>
      </w:r>
      <w:r>
        <w:rPr>
          <w:rFonts w:ascii="Times New Roman" w:hAnsi="Times New Roman"/>
          <w:color w:val="000000"/>
          <w:sz w:val="26"/>
          <w:szCs w:val="26"/>
        </w:rPr>
        <w:t xml:space="preserve">, os preços iniciais serão reajustados, mediante a aplicação, pelo contratante, do índice IGP </w:t>
      </w:r>
      <w:r>
        <w:rPr>
          <w:rFonts w:ascii="Times New Roman" w:hAnsi="Times New Roman"/>
          <w:i/>
          <w:iCs/>
          <w:color w:val="000000"/>
          <w:sz w:val="26"/>
          <w:szCs w:val="26"/>
        </w:rPr>
        <w:t>,</w:t>
      </w:r>
      <w:r>
        <w:rPr>
          <w:rFonts w:ascii="Times New Roman" w:hAnsi="Times New Roman"/>
          <w:color w:val="000000"/>
          <w:sz w:val="26"/>
          <w:szCs w:val="26"/>
        </w:rPr>
        <w:t xml:space="preserve"> exclusivamente para as obrigações iniciadas e concluídas após a ocorrência da anualidade.</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Nos reajustes subsequentes ao primeiro, o interregno mínimo de um ano será contado a partir dos efeitos financeiros do último reajuste.</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ListParagraph"/>
        <w:numPr>
          <w:ilvl w:val="1"/>
          <w:numId w:val="1"/>
        </w:numPr>
        <w:spacing w:lineRule="auto" w:line="276" w:before="0" w:after="170"/>
        <w:ind w:left="0" w:right="0" w:hanging="0"/>
        <w:contextualSpacing/>
        <w:jc w:val="both"/>
        <w:rPr>
          <w:rFonts w:ascii="Times New Roman" w:hAnsi="Times New Roman" w:cs="Arial"/>
          <w:vanish/>
          <w:color w:val="000000"/>
          <w:sz w:val="26"/>
          <w:szCs w:val="26"/>
        </w:rPr>
      </w:pPr>
      <w:r>
        <w:rPr>
          <w:rFonts w:cs="Arial" w:ascii="Times New Roman" w:hAnsi="Times New Roman"/>
          <w:vanish/>
          <w:color w:val="000000"/>
          <w:sz w:val="26"/>
          <w:szCs w:val="26"/>
        </w:rPr>
      </w:r>
    </w:p>
    <w:p>
      <w:pPr>
        <w:pStyle w:val="ListParagraph"/>
        <w:numPr>
          <w:ilvl w:val="1"/>
          <w:numId w:val="1"/>
        </w:numPr>
        <w:spacing w:lineRule="auto" w:line="276" w:before="0" w:after="170"/>
        <w:ind w:left="0" w:right="0" w:hanging="0"/>
        <w:contextualSpacing/>
        <w:jc w:val="both"/>
        <w:rPr>
          <w:rFonts w:ascii="Times New Roman" w:hAnsi="Times New Roman" w:cs="Arial"/>
          <w:vanish/>
          <w:color w:val="000000"/>
          <w:sz w:val="26"/>
          <w:szCs w:val="26"/>
        </w:rPr>
      </w:pPr>
      <w:r>
        <w:rPr>
          <w:rFonts w:cs="Arial" w:ascii="Times New Roman" w:hAnsi="Times New Roman"/>
          <w:vanish/>
          <w:color w:val="000000"/>
          <w:sz w:val="26"/>
          <w:szCs w:val="26"/>
        </w:rPr>
      </w:r>
    </w:p>
    <w:p>
      <w:pPr>
        <w:pStyle w:val="ListParagraph"/>
        <w:numPr>
          <w:ilvl w:val="1"/>
          <w:numId w:val="1"/>
        </w:numPr>
        <w:spacing w:lineRule="auto" w:line="276" w:before="0" w:after="170"/>
        <w:ind w:left="0" w:right="0" w:hanging="0"/>
        <w:contextualSpacing/>
        <w:jc w:val="both"/>
        <w:rPr>
          <w:rFonts w:ascii="Times New Roman" w:hAnsi="Times New Roman" w:cs="Arial"/>
          <w:vanish/>
          <w:color w:val="000000"/>
          <w:sz w:val="26"/>
          <w:szCs w:val="26"/>
        </w:rPr>
      </w:pPr>
      <w:r>
        <w:rPr>
          <w:rFonts w:cs="Arial" w:ascii="Times New Roman" w:hAnsi="Times New Roman"/>
          <w:vanish/>
          <w:color w:val="000000"/>
          <w:sz w:val="26"/>
          <w:szCs w:val="26"/>
        </w:rPr>
      </w:r>
    </w:p>
    <w:p>
      <w:pPr>
        <w:pStyle w:val="ListParagraph"/>
        <w:numPr>
          <w:ilvl w:val="2"/>
          <w:numId w:val="1"/>
        </w:numPr>
        <w:spacing w:lineRule="auto" w:line="276" w:before="0" w:after="170"/>
        <w:ind w:left="0" w:right="0" w:hanging="0"/>
        <w:contextualSpacing/>
        <w:jc w:val="both"/>
        <w:rPr>
          <w:rFonts w:ascii="Times New Roman" w:hAnsi="Times New Roman" w:cs="Arial"/>
          <w:vanish/>
          <w:color w:val="000000"/>
          <w:sz w:val="26"/>
          <w:szCs w:val="26"/>
        </w:rPr>
      </w:pPr>
      <w:r>
        <w:rPr>
          <w:rFonts w:cs="Arial" w:ascii="Times New Roman" w:hAnsi="Times New Roman"/>
          <w:vanish/>
          <w:color w:val="000000"/>
          <w:sz w:val="26"/>
          <w:szCs w:val="26"/>
        </w:rPr>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Nas aferições finais, o(s) índice(s) utilizado(s) para reajuste será(ão), obrigatoriamente, o(s) definitivo(s).</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 xml:space="preserve">Na ausência de previsão legal quanto ao índice substituto, as partes elegerão novo índice oficial, para reajustamento do preço do valor remanescente, por meio de termo aditivo. </w:t>
      </w:r>
    </w:p>
    <w:p>
      <w:pPr>
        <w:pStyle w:val="Nivel2"/>
        <w:numPr>
          <w:ilvl w:val="1"/>
          <w:numId w:val="1"/>
        </w:numPr>
        <w:spacing w:lineRule="auto" w:line="276" w:before="0" w:after="170"/>
        <w:ind w:left="0" w:right="0" w:hanging="0"/>
        <w:jc w:val="both"/>
        <w:rPr>
          <w:color w:val="000000"/>
        </w:rPr>
      </w:pPr>
      <w:r>
        <w:rPr>
          <w:rFonts w:cs="Arial" w:ascii="Times New Roman" w:hAnsi="Times New Roman"/>
          <w:b w:val="false"/>
          <w:bCs w:val="false"/>
          <w:i w:val="false"/>
          <w:iCs w:val="false"/>
          <w:color w:val="000000" w:themeShade="bf"/>
          <w:sz w:val="26"/>
          <w:szCs w:val="26"/>
        </w:rPr>
        <w:t>O reajuste será realizado por apostilamento.</w:t>
      </w:r>
    </w:p>
    <w:p>
      <w:pPr>
        <w:pStyle w:val="Normal"/>
        <w:numPr>
          <w:ilvl w:val="0"/>
          <w:numId w:val="0"/>
        </w:numPr>
        <w:spacing w:lineRule="auto" w:line="276" w:before="0" w:after="170"/>
        <w:ind w:left="0" w:right="0" w:hanging="0"/>
        <w:jc w:val="both"/>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p>
      <w:pPr>
        <w:pStyle w:val="Nivel01Titulo"/>
        <w:numPr>
          <w:ilvl w:val="0"/>
          <w:numId w:val="1"/>
        </w:numPr>
        <w:spacing w:lineRule="auto" w:line="276" w:before="0" w:after="170"/>
        <w:ind w:left="0" w:right="0" w:hanging="0"/>
        <w:rPr>
          <w:color w:val="000000"/>
        </w:rPr>
      </w:pPr>
      <w:r>
        <w:rPr>
          <w:rFonts w:cs="Arial" w:ascii="Times New Roman" w:hAnsi="Times New Roman"/>
          <w:i w:val="false"/>
          <w:iCs w:val="false"/>
          <w:color w:val="000000"/>
          <w:sz w:val="26"/>
          <w:szCs w:val="26"/>
        </w:rPr>
        <w:t>CLÁUSULA SÉTIMA - OBRIGAÇÕES DO CONTRATANTE (art. 92, X, XI e XIV)</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São obrigações do Contratante:</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Exigir o cumprimento de todas as obrigações assumidas pelo Contratado, de acordo com o contrato e seus anexos;</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Receber o objeto no prazo e condições estabelecidas no Termo de Referência ou Projeto Básico;</w:t>
      </w:r>
      <w:bookmarkStart w:id="0" w:name="_Hlk133591676"/>
      <w:bookmarkEnd w:id="0"/>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Notificar o Contratado, por escrito, sobre vícios, defeitos ou incorreções verificadas no objeto fornecido, para que seja por ele substituído, reparado ou corrigido, no total ou em parte, às suas expensas;</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Acompanhar e fiscalizar a execução do contrato e o cumprimento das obrigações pelo Contratado;</w:t>
      </w:r>
    </w:p>
    <w:p>
      <w:pPr>
        <w:pStyle w:val="Nivel2"/>
        <w:numPr>
          <w:ilvl w:val="1"/>
          <w:numId w:val="1"/>
        </w:numPr>
        <w:spacing w:lineRule="auto" w:line="276" w:before="0" w:after="170"/>
        <w:ind w:left="0" w:right="0" w:hanging="0"/>
        <w:rPr/>
      </w:pPr>
      <w:r>
        <w:rPr>
          <w:rFonts w:ascii="Times New Roman" w:hAnsi="Times New Roman"/>
          <w:color w:val="000000"/>
          <w:sz w:val="26"/>
          <w:szCs w:val="26"/>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3">
        <w:r>
          <w:rPr>
            <w:rStyle w:val="LinkdaInternet"/>
            <w:rFonts w:ascii="Times New Roman" w:hAnsi="Times New Roman"/>
            <w:color w:val="000000"/>
            <w:sz w:val="26"/>
            <w:szCs w:val="26"/>
          </w:rPr>
          <w:t>art. 143 da Lei nº 14.133, de 2021</w:t>
        </w:r>
      </w:hyperlink>
      <w:r>
        <w:rPr>
          <w:rFonts w:ascii="Times New Roman" w:hAnsi="Times New Roman"/>
          <w:color w:val="000000"/>
          <w:sz w:val="26"/>
          <w:szCs w:val="26"/>
        </w:rPr>
        <w:t>;</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Efetuar o pagamento ao Contratado do valor correspondente à execução do objeto, no prazo, forma e condições estabelecidos no presente Contrato e no Termo de Referência;</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 xml:space="preserve">Aplicar ao Contratado as sanções previstas na lei e neste Contrato; </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Cientificar o órgão de representação judicial da Advocacia-Geral da União para adoção das medidas cabíveis quando do descumprimento de obrigações pelo Contratado;</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1"/>
        </w:numPr>
        <w:spacing w:lineRule="auto" w:line="276" w:before="0" w:after="170"/>
        <w:ind w:left="0" w:right="0" w:hanging="0"/>
        <w:rPr>
          <w:color w:val="000000"/>
        </w:rPr>
      </w:pPr>
      <w:r>
        <w:rPr>
          <w:rFonts w:ascii="Times New Roman" w:hAnsi="Times New Roman"/>
          <w:color w:val="000000"/>
          <w:sz w:val="26"/>
          <w:szCs w:val="26"/>
        </w:rPr>
        <w:t xml:space="preserve"> </w:t>
      </w:r>
      <w:r>
        <w:rPr>
          <w:rFonts w:ascii="Times New Roman" w:hAnsi="Times New Roman"/>
          <w:color w:val="000000"/>
          <w:sz w:val="26"/>
          <w:szCs w:val="26"/>
        </w:rPr>
        <w:t>A Administração terá o prazo de</w:t>
      </w:r>
      <w:r>
        <w:rPr>
          <w:rFonts w:ascii="Times New Roman" w:hAnsi="Times New Roman"/>
          <w:i/>
          <w:iCs/>
          <w:color w:val="000000"/>
          <w:sz w:val="26"/>
          <w:szCs w:val="26"/>
        </w:rPr>
        <w:t xml:space="preserve"> 10 dias </w:t>
      </w:r>
      <w:r>
        <w:rPr>
          <w:rFonts w:ascii="Times New Roman" w:hAnsi="Times New Roman"/>
          <w:color w:val="000000"/>
          <w:sz w:val="26"/>
          <w:szCs w:val="26"/>
        </w:rPr>
        <w:t xml:space="preserve">, a contar da data do protocolo do requerimento para decidir, admitida a prorrogação motivada, por igual período. </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Responder eventuais pedidos de reestabelecimento do equilíbrio econômico-financeiro feitos pelo contratado no prazo máximo de 10 dias.</w:t>
      </w:r>
    </w:p>
    <w:p>
      <w:pPr>
        <w:pStyle w:val="Nvel2Red"/>
        <w:numPr>
          <w:ilvl w:val="0"/>
          <w:numId w:val="1"/>
        </w:numPr>
        <w:spacing w:lineRule="auto" w:line="276" w:before="0" w:after="170"/>
        <w:ind w:left="0" w:right="0" w:hanging="0"/>
        <w:rPr>
          <w:b/>
          <w:b/>
          <w:bCs/>
          <w:i w:val="false"/>
          <w:i w:val="false"/>
          <w:iCs w:val="false"/>
          <w:color w:val="000000"/>
        </w:rPr>
      </w:pPr>
      <w:bookmarkStart w:id="1" w:name="_Hlk114499841"/>
      <w:bookmarkEnd w:id="1"/>
      <w:r>
        <w:rPr>
          <w:rFonts w:ascii="Times New Roman" w:hAnsi="Times New Roman"/>
          <w:b/>
          <w:bCs/>
          <w:i w:val="false"/>
          <w:iCs w:val="false"/>
          <w:color w:val="000000"/>
          <w:sz w:val="26"/>
          <w:szCs w:val="26"/>
        </w:rPr>
        <w:t>Notificar os emitentes das garantias quanto ao início de processo administrativo para apuração de descumprimento de cláusulas contratuais.</w:t>
      </w:r>
    </w:p>
    <w:p>
      <w:pPr>
        <w:pStyle w:val="Nivel2"/>
        <w:numPr>
          <w:ilvl w:val="1"/>
          <w:numId w:val="1"/>
        </w:numPr>
        <w:spacing w:lineRule="auto" w:line="276" w:before="0" w:after="170"/>
        <w:ind w:left="0" w:right="0" w:hanging="0"/>
        <w:rPr/>
      </w:pPr>
      <w:r>
        <w:rPr>
          <w:rFonts w:ascii="Times New Roman" w:hAnsi="Times New Roman"/>
          <w:color w:val="000000"/>
          <w:sz w:val="26"/>
          <w:szCs w:val="26"/>
        </w:rPr>
        <w:t xml:space="preserve">Comunicar o Contratado na hipótese de posterior alteração do projeto pelo Contratante, no caso </w:t>
      </w:r>
      <w:r>
        <w:fldChar w:fldCharType="begin"/>
      </w:r>
      <w:r>
        <w:rPr>
          <w:rStyle w:val="LinkdaInternet"/>
          <w:sz w:val="26"/>
          <w:szCs w:val="26"/>
          <w:rFonts w:ascii="Times New Roman" w:hAnsi="Times New Roman"/>
          <w:color w:val="000000"/>
        </w:rPr>
        <w:instrText> HYPERLINK "http://www.planalto.gov.br/ccivil_03/_ato2019-2022/2021/lei/L14133.htm" \l "art93§2"</w:instrText>
      </w:r>
      <w:r>
        <w:rPr>
          <w:rStyle w:val="LinkdaInternet"/>
          <w:sz w:val="26"/>
          <w:szCs w:val="26"/>
          <w:rFonts w:ascii="Times New Roman" w:hAnsi="Times New Roman"/>
          <w:color w:val="000000"/>
        </w:rPr>
        <w:fldChar w:fldCharType="separate"/>
      </w:r>
      <w:r>
        <w:rPr>
          <w:rStyle w:val="LinkdaInternet"/>
          <w:rFonts w:ascii="Times New Roman" w:hAnsi="Times New Roman"/>
          <w:color w:val="000000"/>
          <w:sz w:val="26"/>
          <w:szCs w:val="26"/>
        </w:rPr>
        <w:t>do art. 93, §2º, da Lei nº 14.133, de 2021</w:t>
      </w:r>
      <w:r>
        <w:rPr>
          <w:rStyle w:val="LinkdaInternet"/>
          <w:sz w:val="26"/>
          <w:szCs w:val="26"/>
          <w:rFonts w:ascii="Times New Roman" w:hAnsi="Times New Roman"/>
          <w:color w:val="000000"/>
        </w:rPr>
        <w:fldChar w:fldCharType="end"/>
      </w:r>
      <w:r>
        <w:rPr>
          <w:rFonts w:ascii="Times New Roman" w:hAnsi="Times New Roman"/>
          <w:color w:val="000000"/>
          <w:sz w:val="26"/>
          <w:szCs w:val="26"/>
        </w:rPr>
        <w:t>.</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Fornecer por escrito as informações necessárias para o desenvolvimento dos serviços objeto do contrato.</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Realizar avaliações periódicas da qualidade dos serviços, após seu recebimento.</w:t>
      </w:r>
    </w:p>
    <w:p>
      <w:pPr>
        <w:pStyle w:val="Nivel2"/>
        <w:numPr>
          <w:ilvl w:val="1"/>
          <w:numId w:val="1"/>
        </w:numPr>
        <w:spacing w:lineRule="auto" w:line="276" w:before="0" w:after="170"/>
        <w:ind w:left="0" w:right="0" w:hanging="0"/>
        <w:rPr>
          <w:color w:val="000000"/>
        </w:rPr>
      </w:pPr>
      <w:r>
        <w:rPr>
          <w:rFonts w:ascii="Times New Roman" w:hAnsi="Times New Roman"/>
          <w:i/>
          <w:color w:val="000000"/>
          <w:sz w:val="26"/>
          <w:szCs w:val="26"/>
        </w:rPr>
        <w:t>Exigir do Contratado que providencie a seguinte documentação como condição indispensável para o recebimento definitivo de objeto, quando for o caso:</w:t>
      </w:r>
    </w:p>
    <w:p>
      <w:pPr>
        <w:pStyle w:val="Nivel2"/>
        <w:numPr>
          <w:ilvl w:val="1"/>
          <w:numId w:val="1"/>
        </w:numPr>
        <w:spacing w:lineRule="auto" w:line="276" w:before="0" w:after="170"/>
        <w:ind w:left="0" w:right="0" w:hanging="0"/>
        <w:rPr>
          <w:color w:val="000000"/>
        </w:rPr>
      </w:pPr>
      <w:r>
        <w:rPr>
          <w:rFonts w:ascii="Times New Roman" w:hAnsi="Times New Roman"/>
          <w:i/>
          <w:color w:val="000000"/>
          <w:sz w:val="26"/>
          <w:szCs w:val="26"/>
        </w:rPr>
        <w:t>"as built", elaborado pelo responsável por sua execução;</w:t>
      </w:r>
    </w:p>
    <w:p>
      <w:pPr>
        <w:pStyle w:val="Nivel2"/>
        <w:numPr>
          <w:ilvl w:val="1"/>
          <w:numId w:val="1"/>
        </w:numPr>
        <w:spacing w:lineRule="auto" w:line="276" w:before="0" w:after="170"/>
        <w:ind w:left="0" w:right="0" w:hanging="0"/>
        <w:rPr>
          <w:color w:val="000000"/>
        </w:rPr>
      </w:pPr>
      <w:r>
        <w:rPr>
          <w:rFonts w:ascii="Times New Roman" w:hAnsi="Times New Roman"/>
          <w:i/>
          <w:color w:val="000000"/>
          <w:sz w:val="26"/>
          <w:szCs w:val="26"/>
        </w:rPr>
        <w:t>comprovação das ligações definitivas de energia, água, telefone e gás;</w:t>
      </w:r>
    </w:p>
    <w:p>
      <w:pPr>
        <w:pStyle w:val="Nivel2"/>
        <w:numPr>
          <w:ilvl w:val="1"/>
          <w:numId w:val="1"/>
        </w:numPr>
        <w:spacing w:lineRule="auto" w:line="276" w:before="0" w:after="170"/>
        <w:ind w:left="0" w:right="0" w:hanging="0"/>
        <w:rPr>
          <w:color w:val="000000"/>
        </w:rPr>
      </w:pPr>
      <w:r>
        <w:rPr>
          <w:rFonts w:ascii="Times New Roman" w:hAnsi="Times New Roman"/>
          <w:i/>
          <w:color w:val="000000"/>
          <w:sz w:val="26"/>
          <w:szCs w:val="26"/>
        </w:rPr>
        <w:t>laudo de vistoria do corpo de bombeiros aprovando o serviço;</w:t>
      </w:r>
    </w:p>
    <w:p>
      <w:pPr>
        <w:pStyle w:val="Nivel2"/>
        <w:numPr>
          <w:ilvl w:val="1"/>
          <w:numId w:val="1"/>
        </w:numPr>
        <w:spacing w:lineRule="auto" w:line="276" w:before="0" w:after="170"/>
        <w:ind w:left="0" w:right="0" w:hanging="0"/>
        <w:rPr>
          <w:color w:val="000000"/>
        </w:rPr>
      </w:pPr>
      <w:r>
        <w:rPr>
          <w:rFonts w:ascii="Times New Roman" w:hAnsi="Times New Roman"/>
          <w:i/>
          <w:color w:val="000000"/>
          <w:sz w:val="26"/>
          <w:szCs w:val="26"/>
        </w:rPr>
        <w:t>carta "habite-se", emitida pela prefeitura; e</w:t>
      </w:r>
    </w:p>
    <w:p>
      <w:pPr>
        <w:pStyle w:val="Nivel2"/>
        <w:numPr>
          <w:ilvl w:val="1"/>
          <w:numId w:val="1"/>
        </w:numPr>
        <w:spacing w:lineRule="auto" w:line="276" w:before="0" w:after="170"/>
        <w:ind w:left="0" w:right="0" w:hanging="0"/>
        <w:rPr>
          <w:color w:val="000000"/>
        </w:rPr>
      </w:pPr>
      <w:r>
        <w:rPr>
          <w:rFonts w:ascii="Times New Roman" w:hAnsi="Times New Roman"/>
          <w:i/>
          <w:color w:val="000000"/>
          <w:sz w:val="26"/>
          <w:szCs w:val="26"/>
        </w:rPr>
        <w:t>certidão negativa de débitos previdenciários específica para o registro da obra junto ao Cartório de Registro de Imóveis;</w:t>
      </w:r>
    </w:p>
    <w:p>
      <w:pPr>
        <w:pStyle w:val="Nivel2"/>
        <w:numPr>
          <w:ilvl w:val="1"/>
          <w:numId w:val="1"/>
        </w:numPr>
        <w:spacing w:lineRule="auto" w:line="276" w:before="0" w:after="170"/>
        <w:ind w:left="0" w:right="0" w:hanging="0"/>
        <w:rPr>
          <w:color w:val="000000"/>
        </w:rPr>
      </w:pPr>
      <w:r>
        <w:rPr>
          <w:rFonts w:ascii="Times New Roman" w:hAnsi="Times New Roman"/>
          <w:i/>
          <w:color w:val="000000"/>
          <w:sz w:val="26"/>
          <w:szCs w:val="26"/>
        </w:rPr>
        <w:t>Arquivar, entre outros documentos, de projetos, "as built", especificações técnicas, orçamentos, termos de recebimento, contratos e aditamentos, relatórios de inspeções técnicas após o recebimento do serviço e notificações expedidas.</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Não responder por quaisquer compromissos assumidos pelo Contratado com terceiros, ainda que vinculados à execução do contrato, bem como por qualquer dano causado a terceiros em decorrência de ato do Contratado, de seus empregados, prepostos ou subordinados.</w:t>
      </w:r>
    </w:p>
    <w:p>
      <w:pPr>
        <w:pStyle w:val="Nivel2"/>
        <w:numPr>
          <w:ilvl w:val="1"/>
          <w:numId w:val="1"/>
        </w:numPr>
        <w:spacing w:lineRule="auto" w:line="276" w:before="0" w:after="170"/>
        <w:ind w:left="0" w:right="0" w:hanging="0"/>
        <w:jc w:val="both"/>
        <w:rPr>
          <w:color w:val="000000"/>
        </w:rPr>
      </w:pPr>
      <w:r>
        <w:rPr>
          <w:rFonts w:cs="Arial" w:ascii="Times New Roman" w:hAnsi="Times New Roman"/>
          <w:i w:val="false"/>
          <w:iCs w:val="false"/>
          <w:color w:val="000000"/>
          <w:sz w:val="26"/>
          <w:szCs w:val="26"/>
        </w:rPr>
        <w:t>Previamente à expedição da ordem de serviço, verificar pendências, liberar áreas e/ou adotar providências cabíveis para a regularidade do início da sua execução.</w:t>
      </w:r>
    </w:p>
    <w:p>
      <w:pPr>
        <w:pStyle w:val="Normal"/>
        <w:spacing w:lineRule="auto" w:line="276" w:before="0" w:after="170"/>
        <w:ind w:left="0" w:right="0" w:hanging="0"/>
        <w:jc w:val="both"/>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p>
      <w:pPr>
        <w:pStyle w:val="Nivel01Titulo"/>
        <w:numPr>
          <w:ilvl w:val="0"/>
          <w:numId w:val="1"/>
        </w:numPr>
        <w:spacing w:lineRule="auto" w:line="276" w:before="0" w:after="170"/>
        <w:ind w:left="0" w:right="0" w:hanging="0"/>
        <w:rPr>
          <w:color w:val="000000"/>
        </w:rPr>
      </w:pPr>
      <w:r>
        <w:rPr>
          <w:rFonts w:cs="Arial" w:ascii="Times New Roman" w:hAnsi="Times New Roman"/>
          <w:i w:val="false"/>
          <w:iCs w:val="false"/>
          <w:color w:val="000000"/>
          <w:sz w:val="26"/>
          <w:szCs w:val="26"/>
        </w:rPr>
        <w:t>CLÁUSULA OITAVA - OBRIGAÇÕES DO CONTRATADO (art. 92, XIV, XVI e XVII)</w:t>
      </w:r>
    </w:p>
    <w:p>
      <w:pPr>
        <w:pStyle w:val="Nivel2"/>
        <w:tabs>
          <w:tab w:val="clear" w:pos="708"/>
          <w:tab w:val="left" w:pos="709" w:leader="none"/>
        </w:tabs>
        <w:spacing w:lineRule="auto" w:line="276" w:before="0" w:after="170"/>
        <w:ind w:left="0" w:right="0" w:hanging="0"/>
        <w:rPr>
          <w:rFonts w:ascii="Times New Roman" w:hAnsi="Times New Roman" w:cs="Arial"/>
          <w:i w:val="false"/>
          <w:i w:val="false"/>
          <w:iCs w:val="false"/>
          <w:strike/>
          <w:color w:val="000000"/>
          <w:sz w:val="26"/>
          <w:szCs w:val="26"/>
        </w:rPr>
      </w:pPr>
      <w:r>
        <w:rPr>
          <w:rFonts w:cs="Arial" w:ascii="Times New Roman" w:hAnsi="Times New Roman"/>
          <w:i w:val="false"/>
          <w:iCs w:val="false"/>
          <w:strike/>
          <w:color w:val="000000"/>
          <w:sz w:val="26"/>
          <w:szCs w:val="26"/>
        </w:rPr>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Manter preposto aceito pela Administração no local do serviço para representá-lo na execução do contrato.</w:t>
      </w:r>
    </w:p>
    <w:p>
      <w:pPr>
        <w:pStyle w:val="Nivel3"/>
        <w:numPr>
          <w:ilvl w:val="2"/>
          <w:numId w:val="1"/>
        </w:numPr>
        <w:spacing w:lineRule="auto" w:line="276" w:before="0" w:after="170"/>
        <w:ind w:left="0" w:right="0" w:hanging="0"/>
        <w:rPr>
          <w:color w:val="000000"/>
        </w:rPr>
      </w:pPr>
      <w:r>
        <w:rPr>
          <w:rFonts w:ascii="Times New Roman" w:hAnsi="Times New Roman"/>
          <w:color w:val="000000"/>
          <w:sz w:val="26"/>
          <w:szCs w:val="26"/>
        </w:rPr>
        <w:t>A indicação ou a manutenção do preposto da empresa poderá ser recusada pelo órgão ou entidade, desde que devidamente justificada, devendo a empresa designar outro para o exercício da atividade.</w:t>
      </w:r>
    </w:p>
    <w:p>
      <w:pPr>
        <w:pStyle w:val="Nivel2"/>
        <w:numPr>
          <w:ilvl w:val="1"/>
          <w:numId w:val="1"/>
        </w:numPr>
        <w:spacing w:lineRule="auto" w:line="276" w:before="0" w:after="170"/>
        <w:ind w:left="0" w:right="0" w:hanging="0"/>
        <w:rPr/>
      </w:pPr>
      <w:r>
        <w:rPr>
          <w:rFonts w:ascii="Times New Roman" w:hAnsi="Times New Roman"/>
          <w:color w:val="000000"/>
          <w:sz w:val="26"/>
          <w:szCs w:val="26"/>
        </w:rPr>
        <w:t>Atender às determinações regulares emitidas pelo fiscal do contrato ou autoridade superior (</w:t>
      </w:r>
      <w:r>
        <w:fldChar w:fldCharType="begin"/>
      </w:r>
      <w:r>
        <w:rPr>
          <w:rStyle w:val="LinkdaInternet"/>
          <w:sz w:val="26"/>
          <w:szCs w:val="26"/>
          <w:rFonts w:ascii="Times New Roman" w:hAnsi="Times New Roman"/>
          <w:color w:val="000000"/>
        </w:rPr>
        <w:instrText> HYPERLINK "http://www.planalto.gov.br/ccivil_03/_ato2019-2022/2021/lei/L14133.htm" \l "art137"</w:instrText>
      </w:r>
      <w:r>
        <w:rPr>
          <w:rStyle w:val="LinkdaInternet"/>
          <w:sz w:val="26"/>
          <w:szCs w:val="26"/>
          <w:rFonts w:ascii="Times New Roman" w:hAnsi="Times New Roman"/>
          <w:color w:val="000000"/>
        </w:rPr>
        <w:fldChar w:fldCharType="separate"/>
      </w:r>
      <w:r>
        <w:rPr>
          <w:rStyle w:val="LinkdaInternet"/>
          <w:rFonts w:ascii="Times New Roman" w:hAnsi="Times New Roman"/>
          <w:color w:val="000000"/>
          <w:sz w:val="26"/>
          <w:szCs w:val="26"/>
        </w:rPr>
        <w:t>art. 137, II</w:t>
      </w:r>
      <w:r>
        <w:rPr>
          <w:rStyle w:val="LinkdaInternet"/>
          <w:sz w:val="26"/>
          <w:szCs w:val="26"/>
          <w:rFonts w:ascii="Times New Roman" w:hAnsi="Times New Roman"/>
          <w:color w:val="000000"/>
        </w:rPr>
        <w:fldChar w:fldCharType="end"/>
      </w:r>
      <w:r>
        <w:rPr>
          <w:rFonts w:ascii="Times New Roman" w:hAnsi="Times New Roman"/>
          <w:color w:val="000000"/>
          <w:sz w:val="26"/>
          <w:szCs w:val="26"/>
        </w:rPr>
        <w:t>)</w:t>
      </w:r>
      <w:r>
        <w:rPr>
          <w:rFonts w:ascii="Times New Roman" w:hAnsi="Times New Roman"/>
          <w:color w:val="000000" w:themeColor="text1"/>
          <w:sz w:val="26"/>
          <w:szCs w:val="26"/>
        </w:rPr>
        <w:t xml:space="preserve"> e </w:t>
      </w:r>
      <w:r>
        <w:rPr>
          <w:rFonts w:ascii="Times New Roman" w:hAnsi="Times New Roman"/>
          <w:color w:val="000000"/>
          <w:sz w:val="26"/>
          <w:szCs w:val="26"/>
        </w:rPr>
        <w:t>prestar todo esclarecimento ou informação por eles solicitados;</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ivel2"/>
        <w:numPr>
          <w:ilvl w:val="1"/>
          <w:numId w:val="1"/>
        </w:numPr>
        <w:spacing w:lineRule="auto" w:line="276" w:before="0" w:after="170"/>
        <w:ind w:left="0" w:right="0" w:hanging="0"/>
        <w:rPr/>
      </w:pPr>
      <w:r>
        <w:rPr>
          <w:rFonts w:ascii="Times New Roman" w:hAnsi="Times New Roman"/>
          <w:color w:val="000000"/>
          <w:sz w:val="26"/>
          <w:szCs w:val="26"/>
        </w:rPr>
        <w:t xml:space="preserve">Responsabilizar-se pelos vícios e danos decorrentes da execução do objeto, de acordo com o </w:t>
      </w:r>
      <w:hyperlink r:id="rId4">
        <w:r>
          <w:rPr>
            <w:rStyle w:val="LinkdaInternet"/>
            <w:rFonts w:ascii="Times New Roman" w:hAnsi="Times New Roman"/>
            <w:color w:val="000000"/>
            <w:sz w:val="26"/>
            <w:szCs w:val="26"/>
          </w:rPr>
          <w:t>Código de Defesa do Consumidor (Lei nº 8.078, de 1990</w:t>
        </w:r>
      </w:hyperlink>
      <w:r>
        <w:rPr>
          <w:rFonts w:ascii="Times New Roman" w:hAnsi="Times New Roman"/>
          <w:color w:val="000000"/>
          <w:sz w:val="26"/>
          <w:szCs w:val="26"/>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 xml:space="preserve">Efetuar comunicação ao Contratante, assim que tiver ciência da impossibilidade de realização ou finalização do serviço no prazo estabelecido, para adoção de ações de contingência cabíveis. </w:t>
      </w:r>
    </w:p>
    <w:p>
      <w:pPr>
        <w:pStyle w:val="Nivel2"/>
        <w:numPr>
          <w:ilvl w:val="1"/>
          <w:numId w:val="1"/>
        </w:numPr>
        <w:spacing w:lineRule="auto" w:line="276" w:before="0" w:after="170"/>
        <w:ind w:left="0" w:right="0" w:hanging="0"/>
        <w:rPr/>
      </w:pPr>
      <w:r>
        <w:rPr>
          <w:rFonts w:ascii="Times New Roman" w:hAnsi="Times New Roman"/>
          <w:color w:val="000000"/>
          <w:sz w:val="26"/>
          <w:szCs w:val="26"/>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LinkdaInternet"/>
          <w:sz w:val="26"/>
          <w:szCs w:val="26"/>
          <w:rFonts w:ascii="Times New Roman" w:hAnsi="Times New Roman"/>
          <w:color w:val="000000"/>
        </w:rPr>
        <w:instrText> HYPERLINK "http://www.planalto.gov.br/ccivil_03/_ato2019-2022/2021/lei/L14133.htm" \l "art48"</w:instrText>
      </w:r>
      <w:r>
        <w:rPr>
          <w:rStyle w:val="LinkdaInternet"/>
          <w:sz w:val="26"/>
          <w:szCs w:val="26"/>
          <w:rFonts w:ascii="Times New Roman" w:hAnsi="Times New Roman"/>
          <w:color w:val="000000"/>
        </w:rPr>
        <w:fldChar w:fldCharType="separate"/>
      </w:r>
      <w:r>
        <w:rPr>
          <w:rStyle w:val="LinkdaInternet"/>
          <w:rFonts w:ascii="Times New Roman" w:hAnsi="Times New Roman"/>
          <w:color w:val="000000"/>
          <w:sz w:val="26"/>
          <w:szCs w:val="26"/>
        </w:rPr>
        <w:t>artigo 48, parágrafo único, da Lei nº 14.133, de 2021</w:t>
      </w:r>
      <w:r>
        <w:rPr>
          <w:rStyle w:val="LinkdaInternet"/>
          <w:sz w:val="26"/>
          <w:szCs w:val="26"/>
          <w:rFonts w:ascii="Times New Roman" w:hAnsi="Times New Roman"/>
          <w:color w:val="000000"/>
        </w:rPr>
        <w:fldChar w:fldCharType="end"/>
      </w:r>
      <w:r>
        <w:rPr>
          <w:rFonts w:ascii="Times New Roman" w:hAnsi="Times New Roman"/>
          <w:color w:val="000000"/>
          <w:sz w:val="26"/>
          <w:szCs w:val="26"/>
        </w:rPr>
        <w:t>;</w:t>
      </w:r>
    </w:p>
    <w:p>
      <w:pPr>
        <w:pStyle w:val="Nivel2"/>
        <w:numPr>
          <w:ilvl w:val="1"/>
          <w:numId w:val="1"/>
        </w:numPr>
        <w:spacing w:lineRule="auto" w:line="276" w:before="0" w:after="170"/>
        <w:ind w:left="0" w:right="0" w:hanging="0"/>
        <w:rPr>
          <w:color w:val="000000"/>
        </w:rPr>
      </w:pPr>
      <w:r>
        <w:rPr>
          <w:rFonts w:ascii="Times New Roman" w:hAnsi="Times New Roman"/>
          <w:color w:val="000000" w:themeColor="text1"/>
          <w:sz w:val="26"/>
          <w:szCs w:val="26"/>
        </w:rPr>
        <w:t xml:space="preserve">Quando não for possível a verificação da regularidade no Sistema de Cadastro </w:t>
      </w:r>
      <w:r>
        <w:rPr>
          <w:rFonts w:ascii="Times New Roman" w:hAnsi="Times New Roman"/>
          <w:color w:val="000000"/>
          <w:sz w:val="26"/>
          <w:szCs w:val="26"/>
        </w:rPr>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Comunicar ao Fiscal do contrato, no prazo de 24 (vinte e quatro) horas, qualquer ocorrência anormal ou acidente que se verifique no local dos serviços.</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Paralisar, por determinação do Contratante, qualquer atividade que não esteja sendo executada de acordo com a boa técnica ou que ponha em risco a segurança de pessoas ou bens de terceiros.</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Promover a guarda, manutenção e vigilância de materiais, ferramentas, e tudo o que for necessário à execução do objeto, durante a vigência do contrato.</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Submeter previamente, por escrito, ao Contratante, para análise e aprovação, quaisquer mudanças nos métodos executivos que fujam às especificações do memorial descritivo ou instrumento congênere.</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1"/>
        </w:numPr>
        <w:spacing w:lineRule="auto" w:line="276" w:before="0" w:after="170"/>
        <w:ind w:left="0" w:right="0" w:hanging="0"/>
        <w:rPr/>
      </w:pPr>
      <w:r>
        <w:rPr>
          <w:rFonts w:ascii="Times New Roman" w:hAnsi="Times New Roman"/>
          <w:color w:val="000000"/>
          <w:sz w:val="26"/>
          <w:szCs w:val="26"/>
        </w:rPr>
        <w:t xml:space="preserve"> </w:t>
      </w:r>
      <w:r>
        <w:rPr>
          <w:rFonts w:ascii="Times New Roman" w:hAnsi="Times New Roman"/>
          <w:color w:val="000000"/>
          <w:sz w:val="26"/>
          <w:szCs w:val="26"/>
        </w:rPr>
        <w:t xml:space="preserve">Manter durante toda a vigência do contrato, em compatibilidade com as obrigações assumidas, todas as condições exigidas para </w:t>
      </w:r>
      <w:r>
        <w:rPr>
          <w:rStyle w:val="Normaltextrun"/>
          <w:rFonts w:ascii="Times New Roman" w:hAnsi="Times New Roman"/>
          <w:color w:val="000000"/>
          <w:sz w:val="26"/>
          <w:szCs w:val="26"/>
        </w:rPr>
        <w:t>qualificação na contratação direta;</w:t>
      </w:r>
      <w:r>
        <w:rPr>
          <w:rFonts w:ascii="Times New Roman" w:hAnsi="Times New Roman"/>
          <w:color w:val="000000"/>
          <w:sz w:val="26"/>
          <w:szCs w:val="26"/>
        </w:rPr>
        <w:t xml:space="preserve"> </w:t>
      </w:r>
    </w:p>
    <w:p>
      <w:pPr>
        <w:pStyle w:val="Nivel2"/>
        <w:numPr>
          <w:ilvl w:val="1"/>
          <w:numId w:val="1"/>
        </w:numPr>
        <w:spacing w:lineRule="auto" w:line="276" w:before="0" w:after="170"/>
        <w:ind w:left="0" w:right="0" w:hanging="0"/>
        <w:rPr/>
      </w:pPr>
      <w:r>
        <w:rPr>
          <w:rFonts w:ascii="Times New Roman" w:hAnsi="Times New Roman"/>
          <w:color w:val="000000"/>
          <w:sz w:val="26"/>
          <w:szCs w:val="26"/>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sz w:val="26"/>
          <w:szCs w:val="26"/>
          <w:rFonts w:ascii="Times New Roman" w:hAnsi="Times New Roman"/>
          <w:color w:val="000000"/>
        </w:rPr>
        <w:instrText> HYPERLINK "http://www.planalto.gov.br/ccivil_03/_ato2019-2022/2021/lei/L14133.htm" \l "art116"</w:instrText>
      </w:r>
      <w:r>
        <w:rPr>
          <w:rStyle w:val="LinkdaInternet"/>
          <w:sz w:val="26"/>
          <w:szCs w:val="26"/>
          <w:rFonts w:ascii="Times New Roman" w:hAnsi="Times New Roman"/>
          <w:color w:val="000000"/>
        </w:rPr>
        <w:fldChar w:fldCharType="separate"/>
      </w:r>
      <w:r>
        <w:rPr>
          <w:rStyle w:val="LinkdaInternet"/>
          <w:rFonts w:ascii="Times New Roman" w:hAnsi="Times New Roman"/>
          <w:color w:val="000000"/>
          <w:sz w:val="26"/>
          <w:szCs w:val="26"/>
        </w:rPr>
        <w:t>art. 116</w:t>
      </w:r>
      <w:r>
        <w:rPr>
          <w:rStyle w:val="LinkdaInternet"/>
          <w:sz w:val="26"/>
          <w:szCs w:val="26"/>
          <w:rFonts w:ascii="Times New Roman" w:hAnsi="Times New Roman"/>
          <w:color w:val="000000"/>
        </w:rPr>
        <w:fldChar w:fldCharType="end"/>
      </w:r>
      <w:r>
        <w:rPr>
          <w:rFonts w:ascii="Times New Roman" w:hAnsi="Times New Roman"/>
          <w:color w:val="000000"/>
          <w:sz w:val="26"/>
          <w:szCs w:val="26"/>
        </w:rPr>
        <w:t>);</w:t>
      </w:r>
    </w:p>
    <w:p>
      <w:pPr>
        <w:pStyle w:val="Nivel2"/>
        <w:numPr>
          <w:ilvl w:val="1"/>
          <w:numId w:val="1"/>
        </w:numPr>
        <w:spacing w:lineRule="auto" w:line="276" w:before="0" w:after="170"/>
        <w:ind w:left="0" w:right="0" w:hanging="0"/>
        <w:rPr/>
      </w:pPr>
      <w:r>
        <w:rPr>
          <w:rFonts w:ascii="Times New Roman" w:hAnsi="Times New Roman"/>
          <w:color w:val="000000"/>
          <w:sz w:val="26"/>
          <w:szCs w:val="26"/>
        </w:rPr>
        <w:t>Comprovar a reserva de cargos a que se refere a cláusula acima, no prazo fixado pelo fiscal do contrato, com a indicação dos empregados que preencheram as referidas vagas (</w:t>
      </w:r>
      <w:r>
        <w:fldChar w:fldCharType="begin"/>
      </w:r>
      <w:r>
        <w:rPr>
          <w:rStyle w:val="LinkdaInternet"/>
          <w:sz w:val="26"/>
          <w:szCs w:val="26"/>
          <w:rFonts w:ascii="Times New Roman" w:hAnsi="Times New Roman"/>
          <w:color w:val="000000"/>
        </w:rPr>
        <w:instrText> HYPERLINK "http://www.planalto.gov.br/ccivil_03/_ato2019-2022/2021/lei/L14133.htm" \l "art116"</w:instrText>
      </w:r>
      <w:r>
        <w:rPr>
          <w:rStyle w:val="LinkdaInternet"/>
          <w:sz w:val="26"/>
          <w:szCs w:val="26"/>
          <w:rFonts w:ascii="Times New Roman" w:hAnsi="Times New Roman"/>
          <w:color w:val="000000"/>
        </w:rPr>
        <w:fldChar w:fldCharType="separate"/>
      </w:r>
      <w:r>
        <w:rPr>
          <w:rStyle w:val="LinkdaInternet"/>
          <w:rFonts w:ascii="Times New Roman" w:hAnsi="Times New Roman"/>
          <w:color w:val="000000"/>
          <w:sz w:val="26"/>
          <w:szCs w:val="26"/>
        </w:rPr>
        <w:t>art. 116, parágrafo único</w:t>
      </w:r>
      <w:r>
        <w:rPr>
          <w:rStyle w:val="LinkdaInternet"/>
          <w:sz w:val="26"/>
          <w:szCs w:val="26"/>
          <w:rFonts w:ascii="Times New Roman" w:hAnsi="Times New Roman"/>
          <w:color w:val="000000"/>
        </w:rPr>
        <w:fldChar w:fldCharType="end"/>
      </w:r>
      <w:r>
        <w:rPr>
          <w:rFonts w:ascii="Times New Roman" w:hAnsi="Times New Roman"/>
          <w:color w:val="000000"/>
          <w:sz w:val="26"/>
          <w:szCs w:val="26"/>
        </w:rPr>
        <w:t>);</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Guardar sigilo sobre todas as informações obtidas em decorrência do cumprimento do contrato;</w:t>
      </w:r>
    </w:p>
    <w:p>
      <w:pPr>
        <w:pStyle w:val="Nivel2"/>
        <w:numPr>
          <w:ilvl w:val="1"/>
          <w:numId w:val="1"/>
        </w:numPr>
        <w:spacing w:lineRule="auto" w:line="276" w:before="0" w:after="170"/>
        <w:ind w:left="0" w:right="0" w:hanging="0"/>
        <w:rPr/>
      </w:pPr>
      <w:r>
        <w:rPr>
          <w:rFonts w:ascii="Times New Roman" w:hAnsi="Times New Roman"/>
          <w:color w:val="000000"/>
          <w:sz w:val="26"/>
          <w:szCs w:val="26"/>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sz w:val="26"/>
          <w:szCs w:val="26"/>
          <w:rFonts w:ascii="Times New Roman" w:hAnsi="Times New Roman"/>
          <w:color w:val="000000"/>
        </w:rPr>
        <w:instrText> HYPERLINK "http://www.planalto.gov.br/ccivil_03/_ato2019-2022/2021/lei/L14133.htm" \l "art124"</w:instrText>
      </w:r>
      <w:r>
        <w:rPr>
          <w:rStyle w:val="LinkdaInternet"/>
          <w:sz w:val="26"/>
          <w:szCs w:val="26"/>
          <w:rFonts w:ascii="Times New Roman" w:hAnsi="Times New Roman"/>
          <w:color w:val="000000"/>
        </w:rPr>
        <w:fldChar w:fldCharType="separate"/>
      </w:r>
      <w:r>
        <w:rPr>
          <w:rStyle w:val="LinkdaInternet"/>
          <w:rFonts w:ascii="Times New Roman" w:hAnsi="Times New Roman"/>
          <w:color w:val="000000"/>
          <w:sz w:val="26"/>
          <w:szCs w:val="26"/>
        </w:rPr>
        <w:t>art. 124, II, d, da Lei nº 14.133, de 2021</w:t>
      </w:r>
      <w:r>
        <w:rPr>
          <w:rStyle w:val="LinkdaInternet"/>
          <w:sz w:val="26"/>
          <w:szCs w:val="26"/>
          <w:rFonts w:ascii="Times New Roman" w:hAnsi="Times New Roman"/>
          <w:color w:val="000000"/>
        </w:rPr>
        <w:fldChar w:fldCharType="end"/>
      </w:r>
      <w:r>
        <w:rPr>
          <w:rFonts w:ascii="Times New Roman" w:hAnsi="Times New Roman"/>
          <w:color w:val="000000"/>
          <w:sz w:val="26"/>
          <w:szCs w:val="26"/>
        </w:rPr>
        <w:t>;</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Cumprir, além dos postulados legais vigentes de âmbito federal, estadual ou municipal, as normas de segurança do Contratante;</w:t>
      </w:r>
    </w:p>
    <w:p>
      <w:pPr>
        <w:pStyle w:val="Nivel2"/>
        <w:numPr>
          <w:ilvl w:val="1"/>
          <w:numId w:val="1"/>
        </w:numPr>
        <w:spacing w:lineRule="auto" w:line="276" w:before="0" w:after="170"/>
        <w:ind w:left="0" w:right="0" w:hanging="0"/>
        <w:rPr>
          <w:color w:val="000000"/>
        </w:rPr>
      </w:pPr>
      <w:r>
        <w:rPr>
          <w:rFonts w:ascii="Times New Roman" w:hAnsi="Times New Roman"/>
          <w:i/>
          <w:iCs/>
          <w:color w:val="000000"/>
          <w:sz w:val="26"/>
          <w:szCs w:val="26"/>
        </w:rPr>
        <w:t>Realizar os serviços de manutenção e assistência técnica no(s) seguinte(s) local(is) ... (inserir endereço(s));</w:t>
      </w:r>
    </w:p>
    <w:p>
      <w:pPr>
        <w:pStyle w:val="Nivel3"/>
        <w:numPr>
          <w:ilvl w:val="2"/>
          <w:numId w:val="1"/>
        </w:numPr>
        <w:spacing w:lineRule="auto" w:line="276" w:before="0" w:after="170"/>
        <w:ind w:left="0" w:right="0" w:hanging="0"/>
        <w:rPr>
          <w:color w:val="000000"/>
        </w:rPr>
      </w:pPr>
      <w:r>
        <w:rPr>
          <w:rFonts w:ascii="Times New Roman" w:hAnsi="Times New Roman"/>
          <w:i/>
          <w:iCs/>
          <w:color w:val="000000"/>
          <w:sz w:val="26"/>
          <w:szCs w:val="26"/>
        </w:rPr>
        <w:t xml:space="preserve">O técnico deverá se deslocar ao local da repartição, salvo se o contratado tiver unidade de prestação de serviços em distância de [....] (inserir distância conforme avaliação técnica) do local demandado. </w:t>
      </w:r>
    </w:p>
    <w:p>
      <w:pPr>
        <w:pStyle w:val="Nivel2"/>
        <w:numPr>
          <w:ilvl w:val="1"/>
          <w:numId w:val="1"/>
        </w:numPr>
        <w:spacing w:lineRule="auto" w:line="276" w:before="0" w:after="170"/>
        <w:ind w:left="0" w:right="0" w:hanging="0"/>
        <w:rPr>
          <w:color w:val="000000"/>
        </w:rPr>
      </w:pPr>
      <w:r>
        <w:rPr>
          <w:rFonts w:ascii="Times New Roman" w:hAnsi="Times New Roman"/>
          <w:i/>
          <w:iCs/>
          <w:color w:val="000000"/>
          <w:sz w:val="26"/>
          <w:szCs w:val="26"/>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pPr>
        <w:pStyle w:val="Nivel2"/>
        <w:numPr>
          <w:ilvl w:val="1"/>
          <w:numId w:val="1"/>
        </w:numPr>
        <w:spacing w:lineRule="auto" w:line="276" w:before="0" w:after="170"/>
        <w:ind w:left="0" w:right="0" w:hanging="0"/>
        <w:rPr>
          <w:color w:val="000000"/>
        </w:rPr>
      </w:pPr>
      <w:r>
        <w:rPr>
          <w:rFonts w:ascii="Times New Roman" w:hAnsi="Times New Roman"/>
          <w:i/>
          <w:iCs/>
          <w:color w:val="000000"/>
          <w:sz w:val="26"/>
          <w:szCs w:val="26"/>
        </w:rPr>
        <w:t>Ceder ao Contratante todos os direitos patrimoniais relativos ao objeto contratado, o qual poderá ser livremente utilizado e/ou alterado em outras ocasiões, sem necessidade de nova autorização do Contratado.</w:t>
      </w:r>
    </w:p>
    <w:p>
      <w:pPr>
        <w:pStyle w:val="Nivel3"/>
        <w:numPr>
          <w:ilvl w:val="2"/>
          <w:numId w:val="1"/>
        </w:numPr>
        <w:spacing w:lineRule="auto" w:line="276" w:before="0" w:after="170"/>
        <w:ind w:left="0" w:right="0" w:hanging="0"/>
        <w:rPr>
          <w:color w:val="000000"/>
        </w:rPr>
      </w:pPr>
      <w:r>
        <w:rPr>
          <w:rFonts w:ascii="Times New Roman" w:hAnsi="Times New Roman"/>
          <w:i/>
          <w:iCs/>
          <w:color w:val="000000"/>
          <w:sz w:val="26"/>
          <w:szCs w:val="26"/>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Manter os empregados nos horários predeterminados pelo Contratante.</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Apresentar os empregados devidamente identificados por meio de crachá.</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Apresentar ao Contratante, quando for o caso, a relação nominal dos empregados que adentrarão no órgão para a execução do serviço.</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Observar os preceitos da legislação sobre a jornada de trabalho, conforme a categoria profissional.</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Instruir seus empregados quanto à necessidade de acatar as Normas Internas do Contratante.</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Instruir os seus empregados, quanto à prevenção de incêndios nas áreas do Contratante.</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Adotar as providências e precauções necessárias, inclusive consulta nos respectivos órgãos, se necessário for, a fim de que não venham a ser danificadas as redes hidrossanitárias, elétricas e de comunicação.</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Estar registrada ou inscrita no Conselho Profissional competente, conforme as áreas de atuação previstas no Termo de Referência, em plena validade.</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Obter junto aos órgãos competentes, conforme o caso, as licenças necessárias e demais documentos e autorizações exigíveis, na forma da legislação aplicável.</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pPr>
        <w:pStyle w:val="Nivel2"/>
        <w:numPr>
          <w:ilvl w:val="1"/>
          <w:numId w:val="1"/>
        </w:numPr>
        <w:spacing w:lineRule="auto" w:line="276" w:before="0" w:after="170"/>
        <w:ind w:left="0" w:right="0" w:hanging="0"/>
        <w:rPr/>
      </w:pPr>
      <w:r>
        <w:rPr>
          <w:rFonts w:ascii="Times New Roman" w:hAnsi="Times New Roman"/>
          <w:color w:val="000000"/>
          <w:sz w:val="26"/>
          <w:szCs w:val="26"/>
        </w:rPr>
        <w:t xml:space="preserve">Utilizar somente matéria-prima florestal procedente, nos termos do </w:t>
      </w:r>
      <w:r>
        <w:fldChar w:fldCharType="begin"/>
      </w:r>
      <w:r>
        <w:rPr>
          <w:rStyle w:val="LinkdaInternet"/>
          <w:sz w:val="26"/>
          <w:szCs w:val="26"/>
          <w:rFonts w:ascii="Times New Roman" w:hAnsi="Times New Roman"/>
          <w:color w:val="000000"/>
        </w:rPr>
        <w:instrText> HYPERLINK "http://www.planalto.gov.br/ccivil_03/_ato2004-2006/2006/decreto/d5975.htm" \l "art11"</w:instrText>
      </w:r>
      <w:r>
        <w:rPr>
          <w:rStyle w:val="LinkdaInternet"/>
          <w:sz w:val="26"/>
          <w:szCs w:val="26"/>
          <w:rFonts w:ascii="Times New Roman" w:hAnsi="Times New Roman"/>
          <w:color w:val="000000"/>
        </w:rPr>
        <w:fldChar w:fldCharType="separate"/>
      </w:r>
      <w:r>
        <w:rPr>
          <w:rStyle w:val="LinkdaInternet"/>
          <w:rFonts w:ascii="Times New Roman" w:hAnsi="Times New Roman"/>
          <w:color w:val="000000"/>
          <w:sz w:val="26"/>
          <w:szCs w:val="26"/>
        </w:rPr>
        <w:t>artigo 11 do Decreto n° 5.975, de 2006</w:t>
      </w:r>
      <w:r>
        <w:rPr>
          <w:rStyle w:val="LinkdaInternet"/>
          <w:sz w:val="26"/>
          <w:szCs w:val="26"/>
          <w:rFonts w:ascii="Times New Roman" w:hAnsi="Times New Roman"/>
          <w:color w:val="000000"/>
        </w:rPr>
        <w:fldChar w:fldCharType="end"/>
      </w:r>
      <w:r>
        <w:rPr>
          <w:rFonts w:ascii="Times New Roman" w:hAnsi="Times New Roman"/>
          <w:color w:val="000000"/>
          <w:sz w:val="26"/>
          <w:szCs w:val="26"/>
        </w:rPr>
        <w:t>,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pPr>
        <w:pStyle w:val="Nivel2"/>
        <w:numPr>
          <w:ilvl w:val="1"/>
          <w:numId w:val="1"/>
        </w:numPr>
        <w:spacing w:lineRule="auto" w:line="276" w:before="0" w:after="170"/>
        <w:ind w:left="0" w:right="0" w:hanging="0"/>
        <w:rPr/>
      </w:pPr>
      <w:r>
        <w:rPr>
          <w:rFonts w:ascii="Times New Roman" w:hAnsi="Times New Roman"/>
          <w:color w:val="000000"/>
          <w:sz w:val="26"/>
          <w:szCs w:val="26"/>
        </w:rPr>
        <w:t xml:space="preserve">Comprovar a procedência legal dos produtos ou subprodutos florestais utilizados em cada etapa da execução contratual, nos termos do </w:t>
      </w:r>
      <w:hyperlink r:id="rId5">
        <w:r>
          <w:rPr>
            <w:rStyle w:val="LinkdaInternet"/>
            <w:rFonts w:ascii="Times New Roman" w:hAnsi="Times New Roman"/>
            <w:color w:val="000000"/>
            <w:sz w:val="26"/>
            <w:szCs w:val="26"/>
          </w:rPr>
          <w:t>artigo 4°, inciso IX, da Instrução Normativa SLTI/MP n° 1, de 19/01/2010</w:t>
        </w:r>
      </w:hyperlink>
      <w:r>
        <w:rPr>
          <w:rFonts w:ascii="Times New Roman" w:hAnsi="Times New Roman"/>
          <w:color w:val="000000"/>
          <w:sz w:val="26"/>
          <w:szCs w:val="26"/>
        </w:rPr>
        <w:t xml:space="preserve">, por ocasião da respectiva medição, mediante a apresentação dos seguintes documentos, conforme o caso: </w:t>
      </w:r>
    </w:p>
    <w:p>
      <w:pPr>
        <w:pStyle w:val="ListParagraph"/>
        <w:numPr>
          <w:ilvl w:val="2"/>
          <w:numId w:val="1"/>
        </w:numPr>
        <w:spacing w:lineRule="auto" w:line="276" w:before="0" w:after="170"/>
        <w:ind w:left="0" w:right="0" w:hanging="0"/>
        <w:contextualSpacing/>
        <w:jc w:val="both"/>
        <w:rPr>
          <w:color w:val="000000"/>
        </w:rPr>
      </w:pPr>
      <w:r>
        <w:rPr>
          <w:rFonts w:eastAsia="Calibri" w:cs="Arial" w:ascii="Times New Roman" w:hAnsi="Times New Roman"/>
          <w:color w:val="000000"/>
          <w:sz w:val="26"/>
          <w:szCs w:val="26"/>
          <w:lang w:eastAsia="en-US"/>
        </w:rPr>
        <w:t xml:space="preserve">Cópias autenticadas das notas fiscais de aquisição dos produtos ou subprodutos florestais; </w:t>
      </w:r>
    </w:p>
    <w:p>
      <w:pPr>
        <w:pStyle w:val="ListParagraph"/>
        <w:numPr>
          <w:ilvl w:val="2"/>
          <w:numId w:val="1"/>
        </w:numPr>
        <w:spacing w:lineRule="auto" w:line="276" w:before="0" w:after="170"/>
        <w:ind w:left="0" w:right="0" w:hanging="0"/>
        <w:contextualSpacing/>
        <w:jc w:val="both"/>
        <w:rPr/>
      </w:pPr>
      <w:r>
        <w:rPr>
          <w:rFonts w:eastAsia="Calibri" w:cs="Arial" w:ascii="Times New Roman" w:hAnsi="Times New Roman"/>
          <w:color w:val="000000"/>
          <w:sz w:val="26"/>
          <w:szCs w:val="26"/>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r>
        <w:fldChar w:fldCharType="begin"/>
      </w:r>
      <w:r>
        <w:rPr>
          <w:rStyle w:val="LinkdaInternet"/>
          <w:sz w:val="26"/>
          <w:szCs w:val="26"/>
          <w:rFonts w:eastAsia="Calibri" w:cs="Arial" w:ascii="Times New Roman" w:hAnsi="Times New Roman"/>
          <w:color w:val="000000"/>
          <w:lang w:eastAsia="en-US"/>
        </w:rPr>
        <w:instrText> HYPERLINK "https://www.planalto.gov.br/ccivil_03/leis/l6938.htm" \l "art17"</w:instrText>
      </w:r>
      <w:r>
        <w:rPr>
          <w:rStyle w:val="LinkdaInternet"/>
          <w:sz w:val="26"/>
          <w:szCs w:val="26"/>
          <w:rFonts w:eastAsia="Calibri" w:cs="Arial" w:ascii="Times New Roman" w:hAnsi="Times New Roman"/>
          <w:color w:val="000000"/>
          <w:lang w:eastAsia="en-US"/>
        </w:rPr>
        <w:fldChar w:fldCharType="separate"/>
      </w:r>
      <w:r>
        <w:rPr>
          <w:rStyle w:val="LinkdaInternet"/>
          <w:rFonts w:eastAsia="Calibri" w:cs="Arial" w:ascii="Times New Roman" w:hAnsi="Times New Roman"/>
          <w:color w:val="000000"/>
          <w:sz w:val="26"/>
          <w:szCs w:val="26"/>
          <w:lang w:eastAsia="en-US"/>
        </w:rPr>
        <w:t>artigo 17, inciso II, da Lei n° 6.938, de 1981</w:t>
      </w:r>
      <w:r>
        <w:rPr>
          <w:rStyle w:val="LinkdaInternet"/>
          <w:sz w:val="26"/>
          <w:szCs w:val="26"/>
          <w:rFonts w:eastAsia="Calibri" w:cs="Arial" w:ascii="Times New Roman" w:hAnsi="Times New Roman"/>
          <w:color w:val="000000"/>
          <w:lang w:eastAsia="en-US"/>
        </w:rPr>
        <w:fldChar w:fldCharType="end"/>
      </w:r>
      <w:r>
        <w:rPr>
          <w:rFonts w:eastAsia="Calibri" w:cs="Arial" w:ascii="Times New Roman" w:hAnsi="Times New Roman"/>
          <w:color w:val="000000"/>
          <w:sz w:val="26"/>
          <w:szCs w:val="26"/>
          <w:lang w:eastAsia="en-US"/>
        </w:rPr>
        <w:t xml:space="preserve">, </w:t>
      </w:r>
      <w:r>
        <w:rPr>
          <w:rFonts w:eastAsia="Calibri" w:cs="Arial" w:ascii="Times New Roman" w:hAnsi="Times New Roman"/>
          <w:strike/>
          <w:color w:val="000000"/>
          <w:sz w:val="26"/>
          <w:szCs w:val="26"/>
          <w:lang w:eastAsia="en-US"/>
        </w:rPr>
        <w:t xml:space="preserve">e </w:t>
      </w:r>
      <w:hyperlink r:id="rId6">
        <w:r>
          <w:rPr>
            <w:rStyle w:val="LinkdaInternet"/>
            <w:rFonts w:eastAsia="Calibri" w:cs="Arial" w:ascii="Times New Roman" w:hAnsi="Times New Roman"/>
            <w:strike/>
            <w:color w:val="000000"/>
            <w:sz w:val="26"/>
            <w:szCs w:val="26"/>
            <w:lang w:eastAsia="en-US"/>
          </w:rPr>
          <w:t>Instrução Normativa IBAMA n° 05, de 15/03/2014</w:t>
        </w:r>
      </w:hyperlink>
      <w:r>
        <w:rPr>
          <w:rFonts w:eastAsia="Calibri" w:cs="Arial" w:ascii="Times New Roman" w:hAnsi="Times New Roman"/>
          <w:color w:val="000000"/>
          <w:sz w:val="26"/>
          <w:szCs w:val="26"/>
          <w:lang w:eastAsia="en-US"/>
        </w:rPr>
        <w:t>, e legislação correlat</w:t>
      </w:r>
      <w:bookmarkStart w:id="2" w:name="_Hlk133591743"/>
      <w:bookmarkEnd w:id="2"/>
      <w:r>
        <w:rPr>
          <w:rFonts w:eastAsia="Calibri" w:cs="Arial" w:ascii="Times New Roman" w:hAnsi="Times New Roman"/>
          <w:color w:val="000000"/>
          <w:sz w:val="26"/>
          <w:szCs w:val="26"/>
          <w:lang w:eastAsia="en-US"/>
        </w:rPr>
        <w:t>a;</w:t>
      </w:r>
    </w:p>
    <w:p>
      <w:pPr>
        <w:pStyle w:val="ListParagraph"/>
        <w:numPr>
          <w:ilvl w:val="2"/>
          <w:numId w:val="1"/>
        </w:numPr>
        <w:spacing w:lineRule="auto" w:line="276" w:before="0" w:after="170"/>
        <w:ind w:left="0" w:right="0" w:hanging="0"/>
        <w:contextualSpacing/>
        <w:jc w:val="both"/>
        <w:rPr/>
      </w:pPr>
      <w:r>
        <w:rPr>
          <w:rFonts w:eastAsia="Calibri" w:cs="Arial" w:ascii="Times New Roman" w:hAnsi="Times New Roman"/>
          <w:color w:val="000000"/>
          <w:sz w:val="26"/>
          <w:szCs w:val="26"/>
          <w:lang w:eastAsia="en-US"/>
        </w:rPr>
        <w:t xml:space="preserve">Documento de Origem Florestal – DOF, instituído pela </w:t>
      </w:r>
      <w:hyperlink r:id="rId7">
        <w:r>
          <w:rPr>
            <w:rFonts w:eastAsia="Calibri" w:cs="Arial" w:ascii="Times New Roman" w:hAnsi="Times New Roman"/>
            <w:color w:val="000000"/>
            <w:sz w:val="26"/>
            <w:szCs w:val="26"/>
            <w:lang w:eastAsia="en-US"/>
          </w:rPr>
          <w:t>Portaria n° 253, de 18/08/2006</w:t>
        </w:r>
      </w:hyperlink>
      <w:r>
        <w:rPr>
          <w:rFonts w:eastAsia="Calibri" w:cs="Arial" w:ascii="Times New Roman" w:hAnsi="Times New Roman"/>
          <w:color w:val="000000"/>
          <w:sz w:val="26"/>
          <w:szCs w:val="26"/>
          <w:lang w:eastAsia="en-US"/>
        </w:rPr>
        <w:t xml:space="preserve">, do Ministério do Meio Ambiente, e </w:t>
      </w:r>
      <w:hyperlink r:id="rId8">
        <w:r>
          <w:rPr>
            <w:rFonts w:eastAsia="Calibri" w:cs="Arial" w:ascii="Times New Roman" w:hAnsi="Times New Roman"/>
            <w:color w:val="000000"/>
            <w:sz w:val="26"/>
            <w:szCs w:val="26"/>
            <w:lang w:eastAsia="en-US"/>
          </w:rPr>
          <w:t>Instrução Normativa IBAMA n° 21, de 24/12/2014</w:t>
        </w:r>
      </w:hyperlink>
      <w:r>
        <w:rPr>
          <w:rFonts w:eastAsia="Calibri" w:cs="Arial" w:ascii="Times New Roman" w:hAnsi="Times New Roman"/>
          <w:color w:val="000000"/>
          <w:sz w:val="26"/>
          <w:szCs w:val="26"/>
          <w:lang w:eastAsia="en-US"/>
        </w:rPr>
        <w:t>, quando se tratar de produtos ou subprodutos florestais de origem nativa cujo transporte e armazenamento exijam a emissão de tal licença obrigatória; e</w:t>
      </w:r>
    </w:p>
    <w:p>
      <w:pPr>
        <w:pStyle w:val="ListParagraph"/>
        <w:numPr>
          <w:ilvl w:val="2"/>
          <w:numId w:val="1"/>
        </w:numPr>
        <w:spacing w:lineRule="auto" w:line="276" w:before="0" w:after="170"/>
        <w:ind w:left="0" w:right="0" w:hanging="0"/>
        <w:contextualSpacing/>
        <w:jc w:val="both"/>
        <w:rPr>
          <w:color w:val="000000"/>
        </w:rPr>
      </w:pPr>
      <w:r>
        <w:rPr>
          <w:rFonts w:eastAsia="Calibri" w:cs="Arial" w:ascii="Times New Roman" w:hAnsi="Times New Roman"/>
          <w:color w:val="000000"/>
          <w:sz w:val="26"/>
          <w:szCs w:val="26"/>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pPr>
        <w:pStyle w:val="Nivel2"/>
        <w:numPr>
          <w:ilvl w:val="1"/>
          <w:numId w:val="1"/>
        </w:numPr>
        <w:spacing w:lineRule="auto" w:line="276" w:before="0" w:after="170"/>
        <w:ind w:left="0" w:right="0" w:hanging="0"/>
        <w:rPr/>
      </w:pPr>
      <w:r>
        <w:rPr>
          <w:rFonts w:eastAsia="Calibri" w:ascii="Times New Roman" w:hAnsi="Times New Roman"/>
          <w:color w:val="000000"/>
          <w:sz w:val="26"/>
          <w:szCs w:val="26"/>
          <w:lang w:eastAsia="en-US"/>
        </w:rPr>
        <w:t xml:space="preserve">Observar as diretrizes, critérios e procedimentos para a gestão dos resíduos da construção civil </w:t>
      </w:r>
      <w:r>
        <w:rPr>
          <w:rFonts w:ascii="Times New Roman" w:hAnsi="Times New Roman"/>
          <w:color w:val="000000"/>
          <w:sz w:val="26"/>
          <w:szCs w:val="26"/>
        </w:rPr>
        <w:t>estabelecidos</w:t>
      </w:r>
      <w:r>
        <w:rPr>
          <w:rFonts w:eastAsia="Calibri" w:ascii="Times New Roman" w:hAnsi="Times New Roman"/>
          <w:color w:val="000000"/>
          <w:sz w:val="26"/>
          <w:szCs w:val="26"/>
          <w:lang w:eastAsia="en-US"/>
        </w:rPr>
        <w:t xml:space="preserve"> na Resolução nº 307, de 05/07/2002, com as alterações posteriores, do Conselho Nacional de Meio Ambiente - CONAMA, conforme </w:t>
      </w:r>
      <w:r>
        <w:fldChar w:fldCharType="begin"/>
      </w:r>
      <w:r>
        <w:rPr>
          <w:rStyle w:val="LinkdaInternet"/>
          <w:sz w:val="26"/>
          <w:szCs w:val="26"/>
          <w:rFonts w:eastAsia="Calibri" w:ascii="Times New Roman" w:hAnsi="Times New Roman"/>
          <w:color w:val="000000"/>
          <w:lang w:eastAsia="en-US"/>
        </w:rPr>
        <w:instrText> HYPERLINK "https://www.gov.br/compras/pt-br/acesso-a-informacao/legislacao/instrucoes-normativas/instrucao-normativa-no-01-de-19-de-janeiro-de-2010" \l "art4§2"</w:instrText>
      </w:r>
      <w:r>
        <w:rPr>
          <w:rStyle w:val="LinkdaInternet"/>
          <w:sz w:val="26"/>
          <w:szCs w:val="26"/>
          <w:rFonts w:eastAsia="Calibri" w:ascii="Times New Roman" w:hAnsi="Times New Roman"/>
          <w:color w:val="000000"/>
          <w:lang w:eastAsia="en-US"/>
        </w:rPr>
        <w:fldChar w:fldCharType="separate"/>
      </w:r>
      <w:r>
        <w:rPr>
          <w:rStyle w:val="LinkdaInternet"/>
          <w:rFonts w:eastAsia="Calibri" w:ascii="Times New Roman" w:hAnsi="Times New Roman"/>
          <w:color w:val="000000"/>
          <w:sz w:val="26"/>
          <w:szCs w:val="26"/>
          <w:lang w:eastAsia="en-US"/>
        </w:rPr>
        <w:t>artigo 4°, §§ 2° e 3°, da Instrução Normativa SLTI/MP n° 1, de 19/01/2010</w:t>
      </w:r>
      <w:r>
        <w:rPr>
          <w:rStyle w:val="LinkdaInternet"/>
          <w:sz w:val="26"/>
          <w:szCs w:val="26"/>
          <w:rFonts w:eastAsia="Calibri" w:ascii="Times New Roman" w:hAnsi="Times New Roman"/>
          <w:color w:val="000000"/>
          <w:lang w:eastAsia="en-US"/>
        </w:rPr>
        <w:fldChar w:fldCharType="end"/>
      </w:r>
      <w:r>
        <w:rPr>
          <w:rFonts w:eastAsia="Calibri" w:ascii="Times New Roman" w:hAnsi="Times New Roman"/>
          <w:color w:val="000000"/>
          <w:sz w:val="26"/>
          <w:szCs w:val="26"/>
          <w:lang w:eastAsia="en-US"/>
        </w:rPr>
        <w:t>, nos seguintes termos:</w:t>
      </w:r>
    </w:p>
    <w:p>
      <w:pPr>
        <w:pStyle w:val="ListParagraph"/>
        <w:numPr>
          <w:ilvl w:val="2"/>
          <w:numId w:val="1"/>
        </w:numPr>
        <w:spacing w:lineRule="auto" w:line="276" w:before="0" w:after="170"/>
        <w:ind w:left="0" w:right="0" w:hanging="0"/>
        <w:contextualSpacing/>
        <w:jc w:val="both"/>
        <w:rPr>
          <w:color w:val="000000"/>
        </w:rPr>
      </w:pPr>
      <w:r>
        <w:rPr>
          <w:rFonts w:eastAsia="Calibri" w:cs="Arial" w:ascii="Times New Roman" w:hAnsi="Times New Roman"/>
          <w:color w:val="000000"/>
          <w:sz w:val="26"/>
          <w:szCs w:val="26"/>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ListParagraph"/>
        <w:numPr>
          <w:ilvl w:val="2"/>
          <w:numId w:val="1"/>
        </w:numPr>
        <w:spacing w:lineRule="auto" w:line="276" w:before="0" w:after="170"/>
        <w:ind w:left="0" w:right="0" w:hanging="0"/>
        <w:contextualSpacing/>
        <w:jc w:val="both"/>
        <w:rPr/>
      </w:pPr>
      <w:r>
        <w:rPr>
          <w:rFonts w:eastAsia="Calibri" w:cs="Arial" w:ascii="Times New Roman" w:hAnsi="Times New Roman"/>
          <w:color w:val="000000"/>
          <w:sz w:val="26"/>
          <w:szCs w:val="26"/>
          <w:lang w:eastAsia="en-US"/>
        </w:rPr>
        <w:t xml:space="preserve">Nos termos dos </w:t>
      </w:r>
      <w:hyperlink r:id="rId9">
        <w:r>
          <w:rPr>
            <w:rStyle w:val="LinkdaInternet"/>
            <w:rFonts w:eastAsia="Calibri" w:cs="Arial" w:ascii="Times New Roman" w:hAnsi="Times New Roman"/>
            <w:color w:val="000000"/>
            <w:sz w:val="26"/>
            <w:szCs w:val="26"/>
            <w:lang w:eastAsia="en-US"/>
          </w:rPr>
          <w:t>artigos 3° e 10° da Resolução CONAMA n° 307, de 05/07/2002</w:t>
        </w:r>
      </w:hyperlink>
      <w:r>
        <w:rPr>
          <w:rFonts w:eastAsia="Calibri" w:cs="Arial" w:ascii="Times New Roman" w:hAnsi="Times New Roman"/>
          <w:color w:val="000000"/>
          <w:sz w:val="26"/>
          <w:szCs w:val="26"/>
          <w:lang w:eastAsia="en-US"/>
        </w:rPr>
        <w:t>, o Contratado deverá providenciar a destinação ambientalmente adequada dos resíduos da construção civil originários da contratação, obedecendo, no que couber, aos seguintes procedimentos:</w:t>
      </w:r>
    </w:p>
    <w:p>
      <w:pPr>
        <w:pStyle w:val="ListParagraph"/>
        <w:numPr>
          <w:ilvl w:val="3"/>
          <w:numId w:val="1"/>
        </w:numPr>
        <w:spacing w:lineRule="auto" w:line="276" w:before="0" w:after="170"/>
        <w:ind w:left="0" w:right="0" w:hanging="0"/>
        <w:contextualSpacing/>
        <w:jc w:val="both"/>
        <w:rPr>
          <w:color w:val="000000"/>
        </w:rPr>
      </w:pPr>
      <w:r>
        <w:rPr>
          <w:rFonts w:eastAsia="Calibri" w:cs="Arial" w:ascii="Times New Roman" w:hAnsi="Times New Roman"/>
          <w:color w:val="000000"/>
          <w:sz w:val="26"/>
          <w:szCs w:val="26"/>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pPr>
        <w:pStyle w:val="ListParagraph"/>
        <w:numPr>
          <w:ilvl w:val="3"/>
          <w:numId w:val="1"/>
        </w:numPr>
        <w:spacing w:lineRule="auto" w:line="276" w:before="0" w:after="170"/>
        <w:ind w:left="0" w:right="0" w:hanging="0"/>
        <w:contextualSpacing/>
        <w:jc w:val="both"/>
        <w:rPr>
          <w:color w:val="000000"/>
        </w:rPr>
      </w:pPr>
      <w:r>
        <w:rPr>
          <w:rFonts w:eastAsia="Calibri" w:cs="Arial" w:ascii="Times New Roman" w:hAnsi="Times New Roman"/>
          <w:color w:val="000000"/>
          <w:sz w:val="26"/>
          <w:szCs w:val="26"/>
          <w:lang w:eastAsia="en-US"/>
        </w:rPr>
        <w:t>resíduos Classe B (recicláveis para outras destinações): deverão ser reutilizados, reciclados ou encaminhados a áreas de armazenamento temporário, sendo dispostos de modo a permitir a sua utilização ou reciclagem futura.</w:t>
      </w:r>
    </w:p>
    <w:p>
      <w:pPr>
        <w:pStyle w:val="ListParagraph"/>
        <w:numPr>
          <w:ilvl w:val="3"/>
          <w:numId w:val="1"/>
        </w:numPr>
        <w:spacing w:lineRule="auto" w:line="276" w:before="0" w:after="170"/>
        <w:ind w:left="0" w:right="0" w:hanging="0"/>
        <w:contextualSpacing/>
        <w:jc w:val="both"/>
        <w:rPr>
          <w:color w:val="000000"/>
        </w:rPr>
      </w:pPr>
      <w:r>
        <w:rPr>
          <w:rFonts w:eastAsia="Calibri" w:cs="Arial" w:ascii="Times New Roman" w:hAnsi="Times New Roman"/>
          <w:color w:val="000000"/>
          <w:sz w:val="26"/>
          <w:szCs w:val="26"/>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ListParagraph"/>
        <w:numPr>
          <w:ilvl w:val="3"/>
          <w:numId w:val="1"/>
        </w:numPr>
        <w:spacing w:lineRule="auto" w:line="276" w:before="0" w:after="170"/>
        <w:ind w:left="0" w:right="0" w:hanging="0"/>
        <w:contextualSpacing/>
        <w:jc w:val="both"/>
        <w:rPr>
          <w:color w:val="000000"/>
        </w:rPr>
      </w:pPr>
      <w:r>
        <w:rPr>
          <w:rFonts w:eastAsia="Calibri" w:cs="Arial" w:ascii="Times New Roman" w:hAnsi="Times New Roman"/>
          <w:color w:val="000000"/>
          <w:sz w:val="26"/>
          <w:szCs w:val="26"/>
          <w:lang w:eastAsia="en-US"/>
        </w:rPr>
        <w:t>resíduos Classe D (perigosos, contaminados ou prejudiciais à saúde): deverão ser armazenados, transportados, reutilizados e destinados em conformidade com as normas técnicas específicas.</w:t>
      </w:r>
    </w:p>
    <w:p>
      <w:pPr>
        <w:pStyle w:val="Normal"/>
        <w:numPr>
          <w:ilvl w:val="2"/>
          <w:numId w:val="1"/>
        </w:numPr>
        <w:spacing w:lineRule="auto" w:line="276" w:before="0" w:after="170"/>
        <w:ind w:left="0" w:right="0" w:hanging="0"/>
        <w:jc w:val="both"/>
        <w:rPr>
          <w:color w:val="000000"/>
        </w:rPr>
      </w:pPr>
      <w:r>
        <w:rPr>
          <w:rFonts w:eastAsia="Calibri" w:cs="Arial" w:ascii="Times New Roman" w:hAnsi="Times New Roman"/>
          <w:color w:val="000000"/>
          <w:sz w:val="26"/>
          <w:szCs w:val="26"/>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pPr>
        <w:pStyle w:val="Normal"/>
        <w:numPr>
          <w:ilvl w:val="2"/>
          <w:numId w:val="1"/>
        </w:numPr>
        <w:spacing w:lineRule="auto" w:line="276" w:before="0" w:after="170"/>
        <w:ind w:left="0" w:right="0" w:hanging="0"/>
        <w:jc w:val="both"/>
        <w:rPr>
          <w:color w:val="000000"/>
        </w:rPr>
      </w:pPr>
      <w:r>
        <w:rPr>
          <w:rFonts w:eastAsia="Calibri" w:cs="Arial" w:ascii="Times New Roman" w:hAnsi="Times New Roman"/>
          <w:color w:val="000000"/>
          <w:sz w:val="26"/>
          <w:szCs w:val="26"/>
          <w:lang w:eastAsia="en-US"/>
        </w:rPr>
        <w:t>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ns. 15.112, 15.113, 15.114, 15.115 e 15.116, de 2004.</w:t>
      </w:r>
    </w:p>
    <w:p>
      <w:pPr>
        <w:pStyle w:val="Nivel2"/>
        <w:numPr>
          <w:ilvl w:val="1"/>
          <w:numId w:val="1"/>
        </w:numPr>
        <w:spacing w:lineRule="auto" w:line="276" w:before="0" w:after="170"/>
        <w:ind w:left="0" w:right="0" w:hanging="0"/>
        <w:rPr>
          <w:color w:val="000000"/>
        </w:rPr>
      </w:pPr>
      <w:r>
        <w:rPr>
          <w:rFonts w:eastAsia="Calibri" w:ascii="Times New Roman" w:hAnsi="Times New Roman"/>
          <w:color w:val="000000"/>
          <w:sz w:val="26"/>
          <w:szCs w:val="26"/>
          <w:lang w:eastAsia="en-US"/>
        </w:rPr>
        <w:t xml:space="preserve">Observar as </w:t>
      </w:r>
      <w:r>
        <w:rPr>
          <w:rFonts w:ascii="Times New Roman" w:hAnsi="Times New Roman"/>
          <w:color w:val="000000"/>
          <w:sz w:val="26"/>
          <w:szCs w:val="26"/>
        </w:rPr>
        <w:t>seguintes</w:t>
      </w:r>
      <w:r>
        <w:rPr>
          <w:rFonts w:eastAsia="Calibri" w:ascii="Times New Roman" w:hAnsi="Times New Roman"/>
          <w:color w:val="000000"/>
          <w:sz w:val="26"/>
          <w:szCs w:val="26"/>
          <w:lang w:eastAsia="en-US"/>
        </w:rPr>
        <w:t xml:space="preserve"> diretrizes de caráter ambiental:</w:t>
      </w:r>
    </w:p>
    <w:p>
      <w:pPr>
        <w:pStyle w:val="ListParagraph"/>
        <w:numPr>
          <w:ilvl w:val="1"/>
          <w:numId w:val="1"/>
        </w:numPr>
        <w:spacing w:lineRule="auto" w:line="276" w:before="0" w:after="170"/>
        <w:ind w:left="0" w:right="0" w:hanging="0"/>
        <w:contextualSpacing/>
        <w:jc w:val="both"/>
        <w:rPr>
          <w:rFonts w:ascii="Times New Roman" w:hAnsi="Times New Roman" w:eastAsia="Calibri" w:cs="Arial"/>
          <w:vanish/>
          <w:color w:val="000000"/>
          <w:sz w:val="26"/>
          <w:szCs w:val="26"/>
          <w:lang w:eastAsia="en-US"/>
        </w:rPr>
      </w:pPr>
      <w:r>
        <w:rPr>
          <w:rFonts w:eastAsia="Calibri" w:cs="Arial" w:ascii="Times New Roman" w:hAnsi="Times New Roman"/>
          <w:vanish/>
          <w:color w:val="000000"/>
          <w:sz w:val="26"/>
          <w:szCs w:val="26"/>
          <w:lang w:eastAsia="en-US"/>
        </w:rPr>
      </w:r>
    </w:p>
    <w:p>
      <w:pPr>
        <w:pStyle w:val="Normal"/>
        <w:numPr>
          <w:ilvl w:val="2"/>
          <w:numId w:val="1"/>
        </w:numPr>
        <w:spacing w:lineRule="auto" w:line="276" w:before="0" w:after="170"/>
        <w:ind w:left="0" w:right="0" w:hanging="0"/>
        <w:jc w:val="both"/>
        <w:rPr/>
      </w:pPr>
      <w:r>
        <w:rPr>
          <w:rFonts w:eastAsia="Calibri" w:cs="Arial" w:ascii="Times New Roman" w:hAnsi="Times New Roman"/>
          <w:color w:val="000000"/>
          <w:sz w:val="26"/>
          <w:szCs w:val="26"/>
          <w:lang w:eastAsia="en-US"/>
        </w:rPr>
        <w:t>Qualquer</w:t>
      </w:r>
      <w:r>
        <w:rPr>
          <w:rFonts w:cs="Arial" w:ascii="Times New Roman" w:hAnsi="Times New Roman"/>
          <w:color w:val="000000"/>
          <w:sz w:val="26"/>
          <w:szCs w:val="26"/>
        </w:rPr>
        <w:t xml:space="preserve"> instalação, equipamento ou processo, situado em local fixo, que</w:t>
      </w:r>
      <w:r>
        <w:rPr>
          <w:rFonts w:eastAsia="Calibri" w:cs="Arial" w:ascii="Times New Roman" w:hAnsi="Times New Roman"/>
          <w:color w:val="000000"/>
          <w:sz w:val="26"/>
          <w:szCs w:val="26"/>
          <w:lang w:eastAsia="en-US"/>
        </w:rPr>
        <w:t xml:space="preserve"> </w:t>
      </w:r>
      <w:r>
        <w:rPr>
          <w:rFonts w:cs="Arial" w:ascii="Times New Roman" w:hAnsi="Times New Roman"/>
          <w:color w:val="000000"/>
          <w:sz w:val="26"/>
          <w:szCs w:val="26"/>
        </w:rPr>
        <w:t>libere</w:t>
      </w:r>
      <w:r>
        <w:rPr>
          <w:rFonts w:eastAsia="Calibri" w:cs="Arial" w:ascii="Times New Roman" w:hAnsi="Times New Roman"/>
          <w:color w:val="000000"/>
          <w:sz w:val="26"/>
          <w:szCs w:val="26"/>
          <w:lang w:eastAsia="en-US"/>
        </w:rPr>
        <w:t xml:space="preserve"> ou emita matéria para a atmosfera, por emissão pontual ou fugitiva, </w:t>
      </w:r>
      <w:r>
        <w:rPr>
          <w:rFonts w:cs="Arial" w:ascii="Times New Roman" w:hAnsi="Times New Roman"/>
          <w:color w:val="000000"/>
          <w:sz w:val="26"/>
          <w:szCs w:val="26"/>
        </w:rPr>
        <w:t>utilizado</w:t>
      </w:r>
      <w:r>
        <w:rPr>
          <w:rFonts w:eastAsia="Calibri" w:cs="Arial" w:ascii="Times New Roman" w:hAnsi="Times New Roman"/>
          <w:color w:val="000000"/>
          <w:sz w:val="26"/>
          <w:szCs w:val="26"/>
          <w:lang w:eastAsia="en-US"/>
        </w:rPr>
        <w:t xml:space="preserve"> na execução contratual, deverá respeitar os limites máximos de emissão de poluentes admitidos na </w:t>
      </w:r>
      <w:hyperlink r:id="rId10">
        <w:r>
          <w:rPr>
            <w:rStyle w:val="LinkdaInternet"/>
            <w:rFonts w:eastAsia="Calibri" w:cs="Arial" w:ascii="Times New Roman" w:hAnsi="Times New Roman"/>
            <w:color w:val="000000"/>
            <w:sz w:val="26"/>
            <w:szCs w:val="26"/>
            <w:lang w:eastAsia="en-US"/>
          </w:rPr>
          <w:t>Resolução CONAMA n° 382, de 26/12/2006</w:t>
        </w:r>
      </w:hyperlink>
      <w:r>
        <w:rPr>
          <w:rFonts w:eastAsia="Calibri" w:cs="Arial" w:ascii="Times New Roman" w:hAnsi="Times New Roman"/>
          <w:color w:val="000000"/>
          <w:sz w:val="26"/>
          <w:szCs w:val="26"/>
          <w:lang w:eastAsia="en-US"/>
        </w:rPr>
        <w:t>, e legislação correlata, de acordo com o poluente e o tipo de fonte.</w:t>
      </w:r>
    </w:p>
    <w:p>
      <w:pPr>
        <w:pStyle w:val="Normal"/>
        <w:numPr>
          <w:ilvl w:val="2"/>
          <w:numId w:val="1"/>
        </w:numPr>
        <w:spacing w:lineRule="auto" w:line="276" w:before="0" w:after="170"/>
        <w:ind w:left="0" w:right="0" w:hanging="0"/>
        <w:jc w:val="both"/>
        <w:rPr/>
      </w:pPr>
      <w:r>
        <w:rPr>
          <w:rFonts w:eastAsia="Calibri" w:cs="Arial" w:ascii="Times New Roman" w:hAnsi="Times New Roman"/>
          <w:color w:val="000000"/>
          <w:sz w:val="26"/>
          <w:szCs w:val="26"/>
          <w:lang w:eastAsia="en-US"/>
        </w:rPr>
        <w:t xml:space="preserve">Na execução contratual, conforme o caso, a emissão de ruídos não poderá ultrapassar os níveis </w:t>
      </w:r>
      <w:r>
        <w:rPr>
          <w:rFonts w:cs="Arial" w:ascii="Times New Roman" w:hAnsi="Times New Roman"/>
          <w:color w:val="000000"/>
          <w:sz w:val="26"/>
          <w:szCs w:val="26"/>
        </w:rPr>
        <w:t>considerados</w:t>
      </w:r>
      <w:r>
        <w:rPr>
          <w:rFonts w:eastAsia="Calibri" w:cs="Arial" w:ascii="Times New Roman" w:hAnsi="Times New Roman"/>
          <w:color w:val="000000"/>
          <w:sz w:val="26"/>
          <w:szCs w:val="26"/>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w:t>
      </w:r>
      <w:r>
        <w:rPr>
          <w:rFonts w:eastAsia="Calibri" w:ascii="Times New Roman" w:hAnsi="Times New Roman"/>
          <w:color w:val="000000"/>
          <w:sz w:val="26"/>
          <w:szCs w:val="26"/>
          <w:lang w:eastAsia="en-US"/>
        </w:rPr>
        <w:t xml:space="preserve"> </w:t>
      </w:r>
      <w:r>
        <w:rPr>
          <w:rFonts w:eastAsia="Calibri" w:cs="Arial" w:ascii="Times New Roman" w:hAnsi="Times New Roman"/>
          <w:color w:val="000000"/>
          <w:sz w:val="26"/>
          <w:szCs w:val="26"/>
          <w:lang w:eastAsia="en-US"/>
        </w:rPr>
        <w:t xml:space="preserve">da Associação Brasileira de Normas Técnicas - ABNT, nos termos da </w:t>
      </w:r>
      <w:hyperlink r:id="rId11">
        <w:r>
          <w:rPr>
            <w:rStyle w:val="LinkdaInternet"/>
            <w:rFonts w:cs="Arial" w:ascii="Times New Roman" w:hAnsi="Times New Roman"/>
            <w:color w:val="000000"/>
            <w:sz w:val="26"/>
            <w:szCs w:val="26"/>
          </w:rPr>
          <w:t>Resolução CONAMA n° 01, de 08/03/90</w:t>
        </w:r>
      </w:hyperlink>
      <w:r>
        <w:rPr>
          <w:rFonts w:eastAsia="Calibri" w:cs="Arial" w:ascii="Times New Roman" w:hAnsi="Times New Roman"/>
          <w:color w:val="000000"/>
          <w:sz w:val="26"/>
          <w:szCs w:val="26"/>
          <w:lang w:eastAsia="en-US"/>
        </w:rPr>
        <w:t>, e legislação correlata.</w:t>
      </w:r>
    </w:p>
    <w:p>
      <w:pPr>
        <w:pStyle w:val="Nivel2"/>
        <w:numPr>
          <w:ilvl w:val="1"/>
          <w:numId w:val="1"/>
        </w:numPr>
        <w:spacing w:lineRule="auto" w:line="276" w:before="0" w:after="170"/>
        <w:ind w:left="0" w:right="0" w:hanging="0"/>
        <w:rPr/>
      </w:pPr>
      <w:r>
        <w:rPr>
          <w:rFonts w:ascii="Times New Roman" w:hAnsi="Times New Roman"/>
          <w:color w:val="000000"/>
          <w:sz w:val="26"/>
          <w:szCs w:val="26"/>
        </w:rPr>
        <w:t xml:space="preserve">Nos termos do </w:t>
      </w:r>
      <w:hyperlink r:id="rId12">
        <w:r>
          <w:rPr>
            <w:rStyle w:val="LinkdaInternet"/>
            <w:rFonts w:ascii="Times New Roman" w:hAnsi="Times New Roman"/>
            <w:color w:val="000000"/>
            <w:sz w:val="26"/>
            <w:szCs w:val="26"/>
          </w:rPr>
          <w:t>artigo 4°, § 3°, da Instrução Normativa SLTI/MP n° 1, de 19/01/2010</w:t>
        </w:r>
      </w:hyperlink>
      <w:r>
        <w:rPr>
          <w:rFonts w:ascii="Times New Roman" w:hAnsi="Times New Roman"/>
          <w:color w:val="000000"/>
          <w:sz w:val="26"/>
          <w:szCs w:val="26"/>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pPr>
        <w:pStyle w:val="Nivel2"/>
        <w:numPr>
          <w:ilvl w:val="1"/>
          <w:numId w:val="1"/>
        </w:numPr>
        <w:spacing w:lineRule="auto" w:line="276" w:before="0" w:after="170"/>
        <w:ind w:left="0" w:right="0" w:hanging="0"/>
        <w:rPr>
          <w:color w:val="000000"/>
        </w:rPr>
      </w:pPr>
      <w:r>
        <w:rPr>
          <w:rFonts w:ascii="Times New Roman" w:hAnsi="Times New Roman"/>
          <w:color w:val="000000"/>
          <w:sz w:val="26"/>
          <w:szCs w:val="26"/>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pPr>
        <w:pStyle w:val="Nivel3"/>
        <w:numPr>
          <w:ilvl w:val="0"/>
          <w:numId w:val="0"/>
        </w:numPr>
        <w:spacing w:lineRule="auto" w:line="276" w:before="0" w:after="170"/>
        <w:ind w:left="0" w:right="0" w:hanging="0"/>
        <w:rPr>
          <w:rFonts w:ascii="Times New Roman" w:hAnsi="Times New Roman" w:eastAsia="Calibri"/>
          <w:i/>
          <w:i/>
          <w:color w:val="000000"/>
          <w:sz w:val="26"/>
          <w:szCs w:val="26"/>
          <w:lang w:eastAsia="en-US"/>
        </w:rPr>
      </w:pPr>
      <w:r>
        <w:rPr>
          <w:rFonts w:eastAsia="Calibri" w:ascii="Times New Roman" w:hAnsi="Times New Roman"/>
          <w:i/>
          <w:color w:val="000000"/>
          <w:sz w:val="26"/>
          <w:szCs w:val="26"/>
          <w:lang w:eastAsia="en-US"/>
        </w:rPr>
      </w:r>
    </w:p>
    <w:p>
      <w:pPr>
        <w:pStyle w:val="Nivel2"/>
        <w:numPr>
          <w:ilvl w:val="1"/>
          <w:numId w:val="1"/>
        </w:numPr>
        <w:spacing w:lineRule="auto" w:line="276" w:before="0" w:after="170"/>
        <w:ind w:left="0" w:right="0" w:hanging="0"/>
        <w:jc w:val="both"/>
        <w:rPr>
          <w:color w:val="000000"/>
        </w:rPr>
      </w:pPr>
      <w:r>
        <w:rPr>
          <w:rFonts w:eastAsia="Calibri" w:cs="Arial" w:ascii="Times New Roman" w:hAnsi="Times New Roman"/>
          <w:i/>
          <w:iCs w:val="false"/>
          <w:color w:val="000000"/>
          <w:sz w:val="26"/>
          <w:szCs w:val="26"/>
          <w:lang w:eastAsia="en-US"/>
        </w:rPr>
        <w:t>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p>
    <w:p>
      <w:pPr>
        <w:pStyle w:val="Normal"/>
        <w:numPr>
          <w:ilvl w:val="0"/>
          <w:numId w:val="0"/>
        </w:numPr>
        <w:spacing w:lineRule="auto" w:line="276" w:before="0" w:after="170"/>
        <w:ind w:left="0" w:right="0" w:hanging="0"/>
        <w:jc w:val="both"/>
        <w:rPr>
          <w:rFonts w:ascii="Times New Roman" w:hAnsi="Times New Roman" w:cs="Arial"/>
          <w:color w:val="000000"/>
          <w:sz w:val="26"/>
          <w:szCs w:val="26"/>
        </w:rPr>
      </w:pPr>
      <w:r>
        <w:rPr>
          <w:rFonts w:cs="Arial" w:ascii="Times New Roman" w:hAnsi="Times New Roman"/>
          <w:color w:val="000000"/>
          <w:sz w:val="26"/>
          <w:szCs w:val="26"/>
        </w:rPr>
      </w:r>
    </w:p>
    <w:p>
      <w:pPr>
        <w:pStyle w:val="Nvel2Opcional"/>
        <w:numPr>
          <w:ilvl w:val="0"/>
          <w:numId w:val="0"/>
        </w:numPr>
        <w:tabs>
          <w:tab w:val="clear" w:pos="708"/>
          <w:tab w:val="left" w:pos="709" w:leader="none"/>
        </w:tabs>
        <w:spacing w:lineRule="auto" w:line="276" w:before="0" w:after="170"/>
        <w:ind w:left="0" w:right="0" w:hanging="0"/>
        <w:rPr>
          <w:rFonts w:ascii="Times New Roman" w:hAnsi="Times New Roman"/>
          <w:i w:val="false"/>
          <w:i w:val="false"/>
          <w:iCs w:val="false"/>
          <w:color w:val="000000" w:themeColor="text1"/>
          <w:sz w:val="26"/>
          <w:szCs w:val="26"/>
        </w:rPr>
      </w:pPr>
      <w:r>
        <w:rPr>
          <w:rFonts w:ascii="Times New Roman" w:hAnsi="Times New Roman"/>
          <w:i w:val="false"/>
          <w:iCs w:val="false"/>
          <w:color w:val="000000" w:themeColor="text1"/>
          <w:sz w:val="26"/>
          <w:szCs w:val="26"/>
        </w:rPr>
      </w:r>
    </w:p>
    <w:p>
      <w:pPr>
        <w:pStyle w:val="Nivel01Titulo"/>
        <w:numPr>
          <w:ilvl w:val="0"/>
          <w:numId w:val="1"/>
        </w:numPr>
        <w:spacing w:lineRule="auto" w:line="276" w:before="0" w:after="170"/>
        <w:ind w:left="0" w:right="0" w:hanging="0"/>
        <w:rPr>
          <w:color w:val="000000"/>
        </w:rPr>
      </w:pPr>
      <w:r>
        <w:rPr>
          <w:rFonts w:cs="Arial" w:ascii="Times New Roman" w:hAnsi="Times New Roman"/>
          <w:i w:val="false"/>
          <w:iCs w:val="false"/>
          <w:color w:val="000000"/>
          <w:sz w:val="26"/>
          <w:szCs w:val="26"/>
        </w:rPr>
        <w:t>CLÁUSULA NONA- OBRIGAÇÕES PERTINENTES À LGPD</w:t>
      </w:r>
    </w:p>
    <w:p>
      <w:pPr>
        <w:pStyle w:val="Normal"/>
        <w:spacing w:lineRule="auto" w:line="276" w:before="0" w:after="170"/>
        <w:ind w:left="0" w:right="0" w:hanging="0"/>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p>
      <w:pPr>
        <w:pStyle w:val="Nivel2"/>
        <w:numPr>
          <w:ilvl w:val="1"/>
          <w:numId w:val="4"/>
        </w:numPr>
        <w:tabs>
          <w:tab w:val="clear" w:pos="708"/>
          <w:tab w:val="left" w:pos="709" w:leader="none"/>
        </w:tabs>
        <w:spacing w:lineRule="auto" w:line="276" w:before="0" w:after="170"/>
        <w:ind w:left="0" w:right="0" w:hanging="0"/>
        <w:rPr>
          <w:color w:val="000000"/>
        </w:rPr>
      </w:pPr>
      <w:r>
        <w:rPr>
          <w:rFonts w:cs="Arial" w:ascii="Times New Roman" w:hAnsi="Times New Roman"/>
          <w:i w:val="false"/>
          <w:iCs w:val="false"/>
          <w:color w:val="000000"/>
          <w:sz w:val="26"/>
          <w:szCs w:val="26"/>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ivel2"/>
        <w:numPr>
          <w:ilvl w:val="1"/>
          <w:numId w:val="4"/>
        </w:numPr>
        <w:tabs>
          <w:tab w:val="clear" w:pos="708"/>
          <w:tab w:val="left" w:pos="709" w:leader="none"/>
        </w:tabs>
        <w:spacing w:lineRule="auto" w:line="276" w:before="0" w:after="170"/>
        <w:ind w:left="0" w:right="0" w:hanging="0"/>
        <w:rPr>
          <w:color w:val="000000"/>
        </w:rPr>
      </w:pPr>
      <w:r>
        <w:rPr>
          <w:rFonts w:cs="Arial" w:ascii="Times New Roman" w:hAnsi="Times New Roman"/>
          <w:i w:val="false"/>
          <w:iCs w:val="false"/>
          <w:color w:val="000000"/>
          <w:sz w:val="26"/>
          <w:szCs w:val="26"/>
        </w:rPr>
        <w:t xml:space="preserve">Os dados obtidos somente poderão ser utilizados para as finalidades que justificaram seu acesso e de acordo com a boa-fé e com os princípios do art. 6º da LGPD. </w:t>
      </w:r>
    </w:p>
    <w:p>
      <w:pPr>
        <w:pStyle w:val="Nivel2"/>
        <w:numPr>
          <w:ilvl w:val="1"/>
          <w:numId w:val="4"/>
        </w:numPr>
        <w:tabs>
          <w:tab w:val="clear" w:pos="708"/>
          <w:tab w:val="left" w:pos="709" w:leader="none"/>
        </w:tabs>
        <w:spacing w:lineRule="auto" w:line="276" w:before="0" w:after="170"/>
        <w:ind w:left="0" w:right="0" w:hanging="0"/>
        <w:rPr>
          <w:color w:val="000000"/>
        </w:rPr>
      </w:pPr>
      <w:r>
        <w:rPr>
          <w:rFonts w:cs="Arial" w:ascii="Times New Roman" w:hAnsi="Times New Roman"/>
          <w:i w:val="false"/>
          <w:iCs w:val="false"/>
          <w:color w:val="000000"/>
          <w:sz w:val="26"/>
          <w:szCs w:val="26"/>
        </w:rPr>
        <w:t>É vedado o compartilhamento com terceiros dos dados obtidos fora das hipóteses permitidas em Lei.</w:t>
      </w:r>
    </w:p>
    <w:p>
      <w:pPr>
        <w:pStyle w:val="Nivel2"/>
        <w:numPr>
          <w:ilvl w:val="1"/>
          <w:numId w:val="4"/>
        </w:numPr>
        <w:tabs>
          <w:tab w:val="clear" w:pos="708"/>
          <w:tab w:val="left" w:pos="709" w:leader="none"/>
        </w:tabs>
        <w:spacing w:lineRule="auto" w:line="276" w:before="0" w:after="170"/>
        <w:ind w:left="0" w:right="0" w:hanging="0"/>
        <w:rPr>
          <w:color w:val="000000"/>
        </w:rPr>
      </w:pPr>
      <w:r>
        <w:rPr>
          <w:rFonts w:cs="Arial" w:ascii="Times New Roman" w:hAnsi="Times New Roman"/>
          <w:i w:val="false"/>
          <w:iCs w:val="false"/>
          <w:color w:val="000000"/>
          <w:sz w:val="26"/>
          <w:szCs w:val="26"/>
        </w:rPr>
        <w:t xml:space="preserve">A Administração deverá ser informada no prazo de 5 (cinco) dias úteis sobre todos os contratos de suboperação firmados ou que venham a ser celebrados pelo Contratado. </w:t>
      </w:r>
    </w:p>
    <w:p>
      <w:pPr>
        <w:pStyle w:val="Nivel2"/>
        <w:numPr>
          <w:ilvl w:val="1"/>
          <w:numId w:val="4"/>
        </w:numPr>
        <w:tabs>
          <w:tab w:val="clear" w:pos="708"/>
          <w:tab w:val="left" w:pos="709" w:leader="none"/>
        </w:tabs>
        <w:spacing w:lineRule="auto" w:line="276" w:before="0" w:after="170"/>
        <w:ind w:left="0" w:right="0" w:hanging="0"/>
        <w:rPr>
          <w:color w:val="000000"/>
        </w:rPr>
      </w:pPr>
      <w:r>
        <w:rPr>
          <w:rFonts w:cs="Arial" w:ascii="Times New Roman" w:hAnsi="Times New Roman"/>
          <w:i w:val="false"/>
          <w:iCs w:val="false"/>
          <w:color w:val="000000"/>
          <w:sz w:val="26"/>
          <w:szCs w:val="26"/>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ivel2"/>
        <w:numPr>
          <w:ilvl w:val="1"/>
          <w:numId w:val="4"/>
        </w:numPr>
        <w:tabs>
          <w:tab w:val="clear" w:pos="708"/>
          <w:tab w:val="left" w:pos="709" w:leader="none"/>
        </w:tabs>
        <w:spacing w:lineRule="auto" w:line="276" w:before="0" w:after="170"/>
        <w:ind w:left="0" w:right="0" w:hanging="0"/>
        <w:rPr>
          <w:color w:val="000000"/>
        </w:rPr>
      </w:pPr>
      <w:r>
        <w:rPr>
          <w:rFonts w:cs="Arial" w:ascii="Times New Roman" w:hAnsi="Times New Roman"/>
          <w:i w:val="false"/>
          <w:iCs w:val="false"/>
          <w:color w:val="000000"/>
          <w:sz w:val="26"/>
          <w:szCs w:val="26"/>
        </w:rPr>
        <w:t xml:space="preserve">É dever do Contratado orientar e treinar seus empregados sobre os deveres, requisitos e responsabilidades decorrentes da LGPD. </w:t>
      </w:r>
    </w:p>
    <w:p>
      <w:pPr>
        <w:pStyle w:val="Nivel2"/>
        <w:numPr>
          <w:ilvl w:val="1"/>
          <w:numId w:val="4"/>
        </w:numPr>
        <w:tabs>
          <w:tab w:val="clear" w:pos="708"/>
          <w:tab w:val="left" w:pos="709" w:leader="none"/>
        </w:tabs>
        <w:spacing w:lineRule="auto" w:line="276" w:before="0" w:after="170"/>
        <w:ind w:left="0" w:right="0" w:hanging="0"/>
        <w:rPr>
          <w:color w:val="000000"/>
        </w:rPr>
      </w:pPr>
      <w:r>
        <w:rPr>
          <w:rFonts w:cs="Arial" w:ascii="Times New Roman" w:hAnsi="Times New Roman"/>
          <w:i w:val="false"/>
          <w:iCs w:val="false"/>
          <w:color w:val="000000"/>
          <w:sz w:val="26"/>
          <w:szCs w:val="26"/>
        </w:rPr>
        <w:t>O Contratado deverá exigir de suboperadores e subcontratados o cumprimento dos deveres da presente cláusula, permanecendo integralmente responsável por garantir sua observância.</w:t>
      </w:r>
    </w:p>
    <w:p>
      <w:pPr>
        <w:pStyle w:val="Nivel2"/>
        <w:numPr>
          <w:ilvl w:val="1"/>
          <w:numId w:val="4"/>
        </w:numPr>
        <w:tabs>
          <w:tab w:val="clear" w:pos="708"/>
          <w:tab w:val="left" w:pos="709" w:leader="none"/>
        </w:tabs>
        <w:spacing w:lineRule="auto" w:line="276" w:before="0" w:after="170"/>
        <w:ind w:left="0" w:right="0" w:hanging="0"/>
        <w:rPr>
          <w:color w:val="000000"/>
        </w:rPr>
      </w:pPr>
      <w:r>
        <w:rPr>
          <w:rFonts w:cs="Arial" w:ascii="Times New Roman" w:hAnsi="Times New Roman"/>
          <w:i w:val="false"/>
          <w:iCs w:val="false"/>
          <w:color w:val="000000"/>
          <w:sz w:val="26"/>
          <w:szCs w:val="26"/>
        </w:rPr>
        <w:t>O Contratante poderá realizar diligência para aferir o cumprimento dessa cláusula, devendo o Contratado atender prontamente eventuais pedidos de comprovação formulados.</w:t>
      </w:r>
    </w:p>
    <w:p>
      <w:pPr>
        <w:pStyle w:val="Nivel2"/>
        <w:numPr>
          <w:ilvl w:val="1"/>
          <w:numId w:val="4"/>
        </w:numPr>
        <w:tabs>
          <w:tab w:val="clear" w:pos="708"/>
          <w:tab w:val="left" w:pos="709" w:leader="none"/>
        </w:tabs>
        <w:spacing w:lineRule="auto" w:line="276" w:before="0" w:after="170"/>
        <w:ind w:left="0" w:right="0" w:hanging="0"/>
        <w:rPr>
          <w:color w:val="000000"/>
        </w:rPr>
      </w:pPr>
      <w:r>
        <w:rPr>
          <w:rFonts w:cs="Arial" w:ascii="Times New Roman" w:hAnsi="Times New Roman"/>
          <w:i w:val="false"/>
          <w:iCs w:val="false"/>
          <w:color w:val="000000"/>
          <w:sz w:val="26"/>
          <w:szCs w:val="26"/>
        </w:rPr>
        <w:t xml:space="preserve">O Contratado deverá prestar, no prazo fixado pelo Contratante, prorrogável justificadamente, quaisquer informações acerca dos dados pessoais para cumprimento da LGPD, inclusive quanto a eventual descarte realizado. </w:t>
      </w:r>
    </w:p>
    <w:p>
      <w:pPr>
        <w:pStyle w:val="Nivel2"/>
        <w:numPr>
          <w:ilvl w:val="1"/>
          <w:numId w:val="4"/>
        </w:numPr>
        <w:tabs>
          <w:tab w:val="clear" w:pos="708"/>
          <w:tab w:val="left" w:pos="709" w:leader="none"/>
        </w:tabs>
        <w:spacing w:lineRule="auto" w:line="276" w:before="0" w:after="170"/>
        <w:ind w:left="0" w:right="0" w:hanging="0"/>
        <w:rPr>
          <w:color w:val="000000"/>
        </w:rPr>
      </w:pPr>
      <w:r>
        <w:rPr>
          <w:rFonts w:cs="Arial" w:ascii="Times New Roman" w:hAnsi="Times New Roman"/>
          <w:i w:val="false"/>
          <w:iCs w:val="false"/>
          <w:color w:val="000000"/>
          <w:sz w:val="26"/>
          <w:szCs w:val="26"/>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pPr>
        <w:pStyle w:val="Nivel2"/>
        <w:numPr>
          <w:ilvl w:val="2"/>
          <w:numId w:val="4"/>
        </w:numPr>
        <w:spacing w:lineRule="auto" w:line="276" w:before="0" w:after="170"/>
        <w:ind w:left="0" w:right="0" w:hanging="0"/>
        <w:rPr>
          <w:color w:val="000000"/>
        </w:rPr>
      </w:pPr>
      <w:r>
        <w:rPr>
          <w:rFonts w:cs="Arial" w:ascii="Times New Roman" w:hAnsi="Times New Roman"/>
          <w:i w:val="false"/>
          <w:iCs w:val="false"/>
          <w:color w:val="000000"/>
          <w:sz w:val="26"/>
          <w:szCs w:val="26"/>
        </w:rPr>
        <w:t xml:space="preserve">Os referidos bancos de dados devem ser desenvolvidos em formato interoperável, a fim de garantir a reutilização desses dados pela Administração nas hipóteses previstas na LGPD. </w:t>
      </w:r>
    </w:p>
    <w:p>
      <w:pPr>
        <w:pStyle w:val="Nivel2"/>
        <w:numPr>
          <w:ilvl w:val="1"/>
          <w:numId w:val="4"/>
        </w:numPr>
        <w:tabs>
          <w:tab w:val="clear" w:pos="708"/>
          <w:tab w:val="left" w:pos="709" w:leader="none"/>
        </w:tabs>
        <w:spacing w:lineRule="auto" w:line="276" w:before="0" w:after="170"/>
        <w:ind w:left="0" w:right="0" w:hanging="0"/>
        <w:rPr>
          <w:color w:val="000000"/>
        </w:rPr>
      </w:pPr>
      <w:r>
        <w:rPr>
          <w:rFonts w:cs="Arial" w:ascii="Times New Roman" w:hAnsi="Times New Roman"/>
          <w:i w:val="false"/>
          <w:iCs w:val="false"/>
          <w:color w:val="000000"/>
          <w:sz w:val="26"/>
          <w:szCs w:val="26"/>
        </w:rPr>
        <w:t xml:space="preserve">O contrato está sujeito a ser alterado nos procedimentos pertinentes ao tratamento de dados pessoais, quando indicado pela autoridade competente, em especial a ANPD por meio de opiniões técnicas ou recomendações, editadas na forma da LGPD. </w:t>
      </w:r>
    </w:p>
    <w:p>
      <w:pPr>
        <w:pStyle w:val="Nivel2"/>
        <w:numPr>
          <w:ilvl w:val="1"/>
          <w:numId w:val="4"/>
        </w:numPr>
        <w:tabs>
          <w:tab w:val="clear" w:pos="708"/>
          <w:tab w:val="left" w:pos="709" w:leader="none"/>
        </w:tabs>
        <w:spacing w:lineRule="auto" w:line="276" w:before="0" w:after="170"/>
        <w:ind w:left="0" w:right="0" w:hanging="0"/>
        <w:rPr>
          <w:color w:val="000000"/>
        </w:rPr>
      </w:pPr>
      <w:r>
        <w:rPr>
          <w:rFonts w:cs="Arial" w:ascii="Times New Roman" w:hAnsi="Times New Roman"/>
          <w:i w:val="false"/>
          <w:iCs w:val="false"/>
          <w:color w:val="000000"/>
          <w:sz w:val="26"/>
          <w:szCs w:val="26"/>
        </w:rPr>
        <w:t xml:space="preserve">Os contratos e convênios de que trata o § 1º do art. 26 da LGPD deverão ser comunicados à autoridade nacional. </w:t>
      </w:r>
    </w:p>
    <w:p>
      <w:pPr>
        <w:pStyle w:val="Normal"/>
        <w:spacing w:lineRule="auto" w:line="276" w:before="0" w:after="170"/>
        <w:ind w:left="0" w:right="0" w:hanging="0"/>
        <w:rPr>
          <w:rFonts w:ascii="Times New Roman" w:hAnsi="Times New Roman" w:cs="Arial"/>
          <w:i w:val="false"/>
          <w:i w:val="false"/>
          <w:iCs w:val="false"/>
          <w:color w:val="000000"/>
          <w:sz w:val="26"/>
          <w:szCs w:val="26"/>
          <w:lang w:eastAsia="pt-BR"/>
        </w:rPr>
      </w:pPr>
      <w:r>
        <w:rPr>
          <w:rFonts w:cs="Arial" w:ascii="Times New Roman" w:hAnsi="Times New Roman"/>
          <w:i w:val="false"/>
          <w:iCs w:val="false"/>
          <w:color w:val="000000"/>
          <w:sz w:val="26"/>
          <w:szCs w:val="26"/>
          <w:lang w:eastAsia="pt-BR"/>
        </w:rPr>
      </w:r>
    </w:p>
    <w:p>
      <w:pPr>
        <w:pStyle w:val="Nivel01Titulo"/>
        <w:numPr>
          <w:ilvl w:val="0"/>
          <w:numId w:val="1"/>
        </w:numPr>
        <w:spacing w:lineRule="auto" w:line="276" w:before="0" w:after="170"/>
        <w:ind w:left="0" w:right="0" w:hanging="0"/>
        <w:rPr>
          <w:color w:val="000000"/>
        </w:rPr>
      </w:pPr>
      <w:r>
        <w:rPr>
          <w:rFonts w:cs="Arial" w:ascii="Times New Roman" w:hAnsi="Times New Roman"/>
          <w:i w:val="false"/>
          <w:iCs w:val="false"/>
          <w:color w:val="000000"/>
          <w:sz w:val="26"/>
          <w:szCs w:val="26"/>
        </w:rPr>
        <w:t>CLÁUSULA DÉCIMA – GARANTIA DE EXECUÇÃO (art. 92, XII e XIII e art. 96 e segs.)</w:t>
      </w:r>
    </w:p>
    <w:p>
      <w:pPr>
        <w:pStyle w:val="Nvel2Opcional"/>
        <w:numPr>
          <w:ilvl w:val="1"/>
          <w:numId w:val="5"/>
        </w:numPr>
        <w:tabs>
          <w:tab w:val="clear" w:pos="708"/>
          <w:tab w:val="left" w:pos="709" w:leader="none"/>
        </w:tabs>
        <w:spacing w:lineRule="auto" w:line="276" w:before="0" w:after="170"/>
        <w:ind w:left="0" w:right="0" w:hanging="0"/>
        <w:rPr>
          <w:color w:val="000000"/>
        </w:rPr>
      </w:pPr>
      <w:r>
        <w:rPr>
          <w:rFonts w:ascii="Times New Roman" w:hAnsi="Times New Roman"/>
          <w:i w:val="false"/>
          <w:iCs w:val="false"/>
          <w:color w:val="000000"/>
          <w:sz w:val="26"/>
          <w:szCs w:val="26"/>
        </w:rPr>
        <w:t>A contratação conta com garantia de execução, nos moldes do art. 96 da Lei nº 14.133, de 2021 em valor correspondente a X% (</w:t>
      </w:r>
      <w:r>
        <w:rPr>
          <w:rFonts w:eastAsia="Calibri" w:cs="Arial" w:ascii="Times New Roman" w:hAnsi="Times New Roman" w:eastAsiaTheme="minorHAnsi"/>
          <w:i w:val="false"/>
          <w:iCs w:val="false"/>
          <w:color w:val="000000"/>
          <w:sz w:val="26"/>
          <w:szCs w:val="26"/>
          <w:lang w:eastAsia="en-US"/>
        </w:rPr>
        <w:t>5 %</w:t>
      </w:r>
      <w:r>
        <w:rPr>
          <w:rFonts w:ascii="Times New Roman" w:hAnsi="Times New Roman"/>
          <w:i w:val="false"/>
          <w:iCs w:val="false"/>
          <w:color w:val="000000"/>
          <w:sz w:val="26"/>
          <w:szCs w:val="26"/>
        </w:rPr>
        <w:t xml:space="preserve"> por cento) do valor total do contrato.</w:t>
      </w:r>
    </w:p>
    <w:p>
      <w:pPr>
        <w:pStyle w:val="Nvel2Opcional"/>
        <w:numPr>
          <w:ilvl w:val="1"/>
          <w:numId w:val="6"/>
        </w:numPr>
        <w:tabs>
          <w:tab w:val="clear" w:pos="708"/>
          <w:tab w:val="left" w:pos="709" w:leader="none"/>
        </w:tabs>
        <w:spacing w:lineRule="auto" w:line="276" w:before="0" w:after="170"/>
        <w:ind w:left="0" w:right="0" w:hanging="0"/>
        <w:rPr>
          <w:color w:val="000000"/>
        </w:rPr>
      </w:pPr>
      <w:r>
        <w:rPr>
          <w:rFonts w:ascii="Times New Roman" w:hAnsi="Times New Roman"/>
          <w:i w:val="false"/>
          <w:iCs w:val="false"/>
          <w:color w:val="000000"/>
          <w:sz w:val="26"/>
          <w:szCs w:val="26"/>
        </w:rPr>
        <w:t xml:space="preserve">Caso utilizada a modalidade de seguro-garantia, a apólice deverá ter validade durante a execução do contrato e por </w:t>
      </w:r>
      <w:r>
        <w:rPr>
          <w:rFonts w:eastAsia="Calibri" w:cs="Arial" w:ascii="Times New Roman" w:hAnsi="Times New Roman"/>
          <w:i w:val="false"/>
          <w:iCs w:val="false"/>
          <w:color w:val="000000"/>
          <w:kern w:val="0"/>
          <w:sz w:val="26"/>
          <w:szCs w:val="26"/>
          <w:lang w:val="pt-BR" w:eastAsia="en-US" w:bidi="ar-SA"/>
        </w:rPr>
        <w:t>200</w:t>
      </w:r>
      <w:r>
        <w:rPr>
          <w:rFonts w:ascii="Times New Roman" w:hAnsi="Times New Roman"/>
          <w:i w:val="false"/>
          <w:iCs w:val="false"/>
          <w:color w:val="000000"/>
          <w:sz w:val="26"/>
          <w:szCs w:val="26"/>
        </w:rPr>
        <w:t xml:space="preserve"> dias após o término da vigência contratual, e permanecerá em vigor mesmo que o contratado não pague o prêmio nas datas convencionadas.</w:t>
      </w:r>
    </w:p>
    <w:p>
      <w:pPr>
        <w:pStyle w:val="Nvel2Opcional"/>
        <w:numPr>
          <w:ilvl w:val="1"/>
          <w:numId w:val="6"/>
        </w:numPr>
        <w:tabs>
          <w:tab w:val="clear" w:pos="708"/>
          <w:tab w:val="left" w:pos="709" w:leader="none"/>
        </w:tabs>
        <w:spacing w:lineRule="auto" w:line="276" w:before="0" w:after="170"/>
        <w:ind w:left="0" w:right="0" w:hanging="0"/>
        <w:rPr>
          <w:color w:val="000000"/>
        </w:rPr>
      </w:pPr>
      <w:r>
        <w:rPr>
          <w:rFonts w:ascii="Times New Roman" w:hAnsi="Times New Roman"/>
          <w:i w:val="false"/>
          <w:iCs w:val="false"/>
          <w:color w:val="000000"/>
          <w:sz w:val="26"/>
          <w:szCs w:val="26"/>
        </w:rPr>
        <w:t xml:space="preserve"> </w:t>
      </w:r>
      <w:r>
        <w:rPr>
          <w:rFonts w:ascii="Times New Roman" w:hAnsi="Times New Roman"/>
          <w:i w:val="false"/>
          <w:iCs w:val="false"/>
          <w:color w:val="000000"/>
          <w:sz w:val="26"/>
          <w:szCs w:val="26"/>
        </w:rPr>
        <w:t>A apólice do seguro garantia deverá acompanhar as modificações referentes à vigência do contrato principal mediante a emissão do respectivo endosso pela seguradora.</w:t>
      </w:r>
    </w:p>
    <w:p>
      <w:pPr>
        <w:pStyle w:val="Nvel2Opcional"/>
        <w:numPr>
          <w:ilvl w:val="1"/>
          <w:numId w:val="6"/>
        </w:numPr>
        <w:tabs>
          <w:tab w:val="clear" w:pos="708"/>
          <w:tab w:val="left" w:pos="709" w:leader="none"/>
        </w:tabs>
        <w:spacing w:lineRule="auto" w:line="276" w:before="0" w:after="170"/>
        <w:ind w:left="0" w:right="0" w:hanging="0"/>
        <w:rPr>
          <w:color w:val="000000"/>
        </w:rPr>
      </w:pPr>
      <w:r>
        <w:rPr>
          <w:rFonts w:ascii="Times New Roman" w:hAnsi="Times New Roman"/>
          <w:i w:val="false"/>
          <w:iCs w:val="false"/>
          <w:color w:val="000000"/>
          <w:sz w:val="26"/>
          <w:szCs w:val="26"/>
        </w:rPr>
        <w:t>Caso utilizada outra modalidade de garantia, somente será liberada ou restituída após a fiel execução do contrato ou após a sua extinção por culpa exclusiva da Administração e, quando em dinheiro, será atualizada monetariamente.</w:t>
      </w:r>
    </w:p>
    <w:p>
      <w:pPr>
        <w:pStyle w:val="Nvel2Opcional"/>
        <w:numPr>
          <w:ilvl w:val="1"/>
          <w:numId w:val="6"/>
        </w:numPr>
        <w:tabs>
          <w:tab w:val="clear" w:pos="708"/>
          <w:tab w:val="left" w:pos="709" w:leader="none"/>
        </w:tabs>
        <w:spacing w:lineRule="auto" w:line="276" w:before="0" w:after="170"/>
        <w:ind w:left="0" w:right="0" w:hanging="0"/>
        <w:rPr>
          <w:color w:val="000000"/>
        </w:rPr>
      </w:pPr>
      <w:r>
        <w:rPr>
          <w:rFonts w:ascii="Times New Roman" w:hAnsi="Times New Roman"/>
          <w:i w:val="false"/>
          <w:iCs w:val="false"/>
          <w:color w:val="000000"/>
          <w:sz w:val="26"/>
          <w:szCs w:val="26"/>
        </w:rPr>
        <w:t>Na hipótese de suspensão do contrato por ordem ou inadimplemento da Administração, o contratado ficará desobrigado de renovar a garantia ou de endossar a apólice de seguro até a ordem de reinício da execução ou o adimplemento pela Administração.</w:t>
      </w:r>
    </w:p>
    <w:p>
      <w:pPr>
        <w:pStyle w:val="Nvel2Opcional"/>
        <w:numPr>
          <w:ilvl w:val="1"/>
          <w:numId w:val="6"/>
        </w:numPr>
        <w:tabs>
          <w:tab w:val="clear" w:pos="708"/>
          <w:tab w:val="left" w:pos="709" w:leader="none"/>
        </w:tabs>
        <w:spacing w:lineRule="auto" w:line="276" w:before="0" w:after="170"/>
        <w:ind w:left="0" w:right="0" w:hanging="0"/>
        <w:rPr>
          <w:color w:val="000000"/>
        </w:rPr>
      </w:pPr>
      <w:r>
        <w:rPr>
          <w:rFonts w:ascii="Times New Roman" w:hAnsi="Times New Roman"/>
          <w:i w:val="false"/>
          <w:iCs w:val="false"/>
          <w:color w:val="000000"/>
          <w:sz w:val="26"/>
          <w:szCs w:val="26"/>
        </w:rPr>
        <w:t xml:space="preserve">A garantia assegurará, qualquer que seja a modalidade escolhida, o pagamento de: </w:t>
      </w:r>
    </w:p>
    <w:p>
      <w:pPr>
        <w:pStyle w:val="Nivel3"/>
        <w:numPr>
          <w:ilvl w:val="2"/>
          <w:numId w:val="6"/>
        </w:numPr>
        <w:tabs>
          <w:tab w:val="left" w:pos="360" w:leader="none"/>
          <w:tab w:val="left" w:pos="709" w:leader="none"/>
          <w:tab w:val="left" w:pos="993" w:leader="none"/>
        </w:tabs>
        <w:spacing w:lineRule="auto" w:line="276" w:before="0" w:after="170"/>
        <w:ind w:left="0" w:right="0" w:hanging="0"/>
        <w:rPr>
          <w:color w:val="000000"/>
        </w:rPr>
      </w:pPr>
      <w:r>
        <w:rPr>
          <w:rFonts w:ascii="Times New Roman" w:hAnsi="Times New Roman"/>
          <w:i w:val="false"/>
          <w:iCs w:val="false"/>
          <w:color w:val="000000"/>
          <w:sz w:val="26"/>
          <w:szCs w:val="26"/>
        </w:rPr>
        <w:t xml:space="preserve">prejuízos advindos do não cumprimento do objeto do contrato e do não adimplemento das demais obrigações nele previstas. </w:t>
      </w:r>
    </w:p>
    <w:p>
      <w:pPr>
        <w:pStyle w:val="Nivel3"/>
        <w:numPr>
          <w:ilvl w:val="2"/>
          <w:numId w:val="6"/>
        </w:numPr>
        <w:tabs>
          <w:tab w:val="left" w:pos="360" w:leader="none"/>
          <w:tab w:val="left" w:pos="709" w:leader="none"/>
          <w:tab w:val="left" w:pos="993" w:leader="none"/>
        </w:tabs>
        <w:spacing w:lineRule="auto" w:line="276" w:before="0" w:after="170"/>
        <w:ind w:left="0" w:right="0" w:hanging="0"/>
        <w:rPr>
          <w:color w:val="000000"/>
        </w:rPr>
      </w:pPr>
      <w:r>
        <w:rPr>
          <w:rFonts w:ascii="Times New Roman" w:hAnsi="Times New Roman"/>
          <w:i w:val="false"/>
          <w:iCs w:val="false"/>
          <w:color w:val="000000"/>
          <w:sz w:val="26"/>
          <w:szCs w:val="26"/>
        </w:rPr>
        <w:t xml:space="preserve">multas moratórias e punitivas aplicadas pelo Contratante ao Contratado. e  </w:t>
      </w:r>
    </w:p>
    <w:p>
      <w:pPr>
        <w:pStyle w:val="Nivel3"/>
        <w:numPr>
          <w:ilvl w:val="2"/>
          <w:numId w:val="6"/>
        </w:numPr>
        <w:tabs>
          <w:tab w:val="left" w:pos="360" w:leader="none"/>
          <w:tab w:val="left" w:pos="709" w:leader="none"/>
          <w:tab w:val="left" w:pos="993" w:leader="none"/>
        </w:tabs>
        <w:spacing w:lineRule="auto" w:line="276" w:before="0" w:after="170"/>
        <w:ind w:left="0" w:right="0" w:hanging="0"/>
        <w:rPr>
          <w:color w:val="000000"/>
        </w:rPr>
      </w:pPr>
      <w:r>
        <w:rPr>
          <w:rFonts w:ascii="Times New Roman" w:hAnsi="Times New Roman"/>
          <w:i w:val="false"/>
          <w:iCs w:val="false"/>
          <w:color w:val="000000"/>
          <w:sz w:val="26"/>
          <w:szCs w:val="26"/>
        </w:rPr>
        <w:t>obrigações trabalhistas e previdenciárias de qualquer natureza e para com o FGTS, não adimplidas pelo contratado, quando couber.</w:t>
      </w:r>
    </w:p>
    <w:p>
      <w:pPr>
        <w:pStyle w:val="Nvel2Opcional"/>
        <w:numPr>
          <w:ilvl w:val="1"/>
          <w:numId w:val="6"/>
        </w:numPr>
        <w:tabs>
          <w:tab w:val="clear" w:pos="708"/>
          <w:tab w:val="left" w:pos="709" w:leader="none"/>
        </w:tabs>
        <w:spacing w:lineRule="auto" w:line="276" w:before="0" w:after="170"/>
        <w:ind w:left="0" w:right="0" w:hanging="0"/>
        <w:rPr>
          <w:color w:val="000000"/>
        </w:rPr>
      </w:pPr>
      <w:r>
        <w:rPr>
          <w:rFonts w:ascii="Times New Roman" w:hAnsi="Times New Roman"/>
          <w:i w:val="false"/>
          <w:iCs w:val="false"/>
          <w:color w:val="000000"/>
          <w:sz w:val="26"/>
          <w:szCs w:val="26"/>
        </w:rPr>
        <w:t>A modalidade seguro-garantia somente será aceita se contemplar todos os eventos indicados no item anterior, observada a legislação que rege a matéria.</w:t>
      </w:r>
    </w:p>
    <w:p>
      <w:pPr>
        <w:pStyle w:val="Nvel2Opcional"/>
        <w:numPr>
          <w:ilvl w:val="1"/>
          <w:numId w:val="6"/>
        </w:numPr>
        <w:tabs>
          <w:tab w:val="clear" w:pos="708"/>
          <w:tab w:val="left" w:pos="709" w:leader="none"/>
        </w:tabs>
        <w:spacing w:lineRule="auto" w:line="276" w:before="0" w:after="170"/>
        <w:ind w:left="0" w:right="0" w:hanging="0"/>
        <w:rPr>
          <w:color w:val="000000"/>
        </w:rPr>
      </w:pPr>
      <w:r>
        <w:rPr>
          <w:rFonts w:ascii="Times New Roman" w:hAnsi="Times New Roman"/>
          <w:i w:val="false"/>
          <w:iCs w:val="false"/>
          <w:color w:val="000000"/>
          <w:sz w:val="26"/>
          <w:szCs w:val="26"/>
        </w:rPr>
        <w:t>A garantia em dinheiro deverá ser efetuada em favor do Contratante, em conta específica na Caixa Econômica Federal, com correção monetária.</w:t>
      </w:r>
    </w:p>
    <w:p>
      <w:pPr>
        <w:pStyle w:val="Nvel2Opcional"/>
        <w:numPr>
          <w:ilvl w:val="1"/>
          <w:numId w:val="6"/>
        </w:numPr>
        <w:tabs>
          <w:tab w:val="clear" w:pos="708"/>
          <w:tab w:val="left" w:pos="709" w:leader="none"/>
        </w:tabs>
        <w:spacing w:lineRule="auto" w:line="276" w:before="0" w:after="170"/>
        <w:ind w:left="0" w:right="0" w:hanging="0"/>
        <w:rPr>
          <w:color w:val="000000"/>
        </w:rPr>
      </w:pPr>
      <w:r>
        <w:rPr>
          <w:rFonts w:ascii="Times New Roman" w:hAnsi="Times New Roman"/>
          <w:i w:val="false"/>
          <w:iCs w:val="false"/>
          <w:color w:val="000000"/>
          <w:sz w:val="26"/>
          <w:szCs w:val="26"/>
        </w:rPr>
        <w:t>Caso a garantia seja mediante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pPr>
        <w:pStyle w:val="Nvel2Opcional"/>
        <w:numPr>
          <w:ilvl w:val="1"/>
          <w:numId w:val="6"/>
        </w:numPr>
        <w:tabs>
          <w:tab w:val="clear" w:pos="708"/>
          <w:tab w:val="left" w:pos="709" w:leader="none"/>
        </w:tabs>
        <w:spacing w:lineRule="auto" w:line="276" w:before="0" w:after="170"/>
        <w:ind w:left="0" w:right="0" w:hanging="0"/>
        <w:rPr>
          <w:color w:val="000000"/>
        </w:rPr>
      </w:pPr>
      <w:r>
        <w:rPr>
          <w:rFonts w:ascii="Times New Roman" w:hAnsi="Times New Roman"/>
          <w:i w:val="false"/>
          <w:iCs w:val="false"/>
          <w:color w:val="000000"/>
          <w:sz w:val="26"/>
          <w:szCs w:val="26"/>
        </w:rP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pPr>
        <w:pStyle w:val="Nvel2Opcional"/>
        <w:numPr>
          <w:ilvl w:val="1"/>
          <w:numId w:val="6"/>
        </w:numPr>
        <w:tabs>
          <w:tab w:val="clear" w:pos="708"/>
          <w:tab w:val="left" w:pos="709" w:leader="none"/>
        </w:tabs>
        <w:spacing w:lineRule="auto" w:line="276" w:before="0" w:after="170"/>
        <w:ind w:left="0" w:right="0" w:hanging="0"/>
        <w:rPr>
          <w:color w:val="000000"/>
        </w:rPr>
      </w:pPr>
      <w:r>
        <w:rPr>
          <w:rFonts w:ascii="Times New Roman" w:hAnsi="Times New Roman"/>
          <w:i w:val="false"/>
          <w:iCs w:val="false"/>
          <w:color w:val="000000"/>
          <w:sz w:val="26"/>
          <w:szCs w:val="26"/>
        </w:rPr>
        <w:t xml:space="preserve">No caso de alteração do valor do contrato, ou prorrogação de sua vigência, a garantia deverá ser ajustada à nova situação ou renovada, seguindo os mesmos parâmetros utilizados quando da contratação. </w:t>
      </w:r>
    </w:p>
    <w:p>
      <w:pPr>
        <w:pStyle w:val="Nvel2Opcional"/>
        <w:numPr>
          <w:ilvl w:val="1"/>
          <w:numId w:val="6"/>
        </w:numPr>
        <w:tabs>
          <w:tab w:val="clear" w:pos="708"/>
          <w:tab w:val="left" w:pos="709" w:leader="none"/>
        </w:tabs>
        <w:spacing w:lineRule="auto" w:line="276" w:before="0" w:after="170"/>
        <w:ind w:left="0" w:right="0" w:hanging="0"/>
        <w:rPr>
          <w:color w:val="000000"/>
        </w:rPr>
      </w:pPr>
      <w:r>
        <w:rPr>
          <w:rFonts w:ascii="Times New Roman" w:hAnsi="Times New Roman"/>
          <w:i w:val="false"/>
          <w:iCs w:val="false"/>
          <w:color w:val="000000"/>
          <w:sz w:val="26"/>
          <w:szCs w:val="26"/>
        </w:rPr>
        <w:t>Se o valor da garantia for utilizado total ou parcialmente em pagamento de qualquer obrigação, o Contratado obriga-se a fazer a respectiva reposição no prazo máximo de 45 (Quarenta e cinco) dias úteis, contados da data em que for notificada.</w:t>
      </w:r>
    </w:p>
    <w:p>
      <w:pPr>
        <w:pStyle w:val="Nvel2Opcional"/>
        <w:numPr>
          <w:ilvl w:val="1"/>
          <w:numId w:val="6"/>
        </w:numPr>
        <w:tabs>
          <w:tab w:val="clear" w:pos="708"/>
          <w:tab w:val="left" w:pos="709" w:leader="none"/>
        </w:tabs>
        <w:spacing w:lineRule="auto" w:line="276" w:before="0" w:after="170"/>
        <w:ind w:left="0" w:right="0" w:hanging="0"/>
        <w:rPr>
          <w:color w:val="000000"/>
        </w:rPr>
      </w:pPr>
      <w:r>
        <w:rPr>
          <w:rFonts w:ascii="Times New Roman" w:hAnsi="Times New Roman"/>
          <w:i w:val="false"/>
          <w:iCs w:val="false"/>
          <w:color w:val="000000"/>
          <w:sz w:val="26"/>
          <w:szCs w:val="26"/>
        </w:rPr>
        <w:t>O Contratante executará a garantia na forma prevista na legislação que rege a matéria.</w:t>
      </w:r>
    </w:p>
    <w:p>
      <w:pPr>
        <w:pStyle w:val="Nvel2Opcional"/>
        <w:numPr>
          <w:ilvl w:val="1"/>
          <w:numId w:val="6"/>
        </w:numPr>
        <w:tabs>
          <w:tab w:val="clear" w:pos="708"/>
          <w:tab w:val="left" w:pos="709" w:leader="none"/>
        </w:tabs>
        <w:spacing w:lineRule="auto" w:line="276" w:before="0" w:after="170"/>
        <w:ind w:left="0" w:right="0" w:hanging="0"/>
        <w:rPr>
          <w:color w:val="000000"/>
        </w:rPr>
      </w:pPr>
      <w:r>
        <w:rPr>
          <w:rFonts w:ascii="Times New Roman" w:hAnsi="Times New Roman"/>
          <w:i w:val="false"/>
          <w:iCs w:val="false"/>
          <w:color w:val="000000"/>
          <w:sz w:val="26"/>
          <w:szCs w:val="26"/>
        </w:rPr>
        <w:t xml:space="preserve">Será considerada extinta a garantia com a devolução da apólice, carta fiança ou autorização para o levantamento de importâncias depositadas em dinheiro a título de garantia, acompanhada de declaração do Contratante, mediante termo circunstanciado, de que o Contratado cumpriu todas as cláusulas do contrato. </w:t>
      </w:r>
    </w:p>
    <w:p>
      <w:pPr>
        <w:pStyle w:val="Nvel2Opcional"/>
        <w:numPr>
          <w:ilvl w:val="1"/>
          <w:numId w:val="6"/>
        </w:numPr>
        <w:tabs>
          <w:tab w:val="clear" w:pos="708"/>
          <w:tab w:val="left" w:pos="709" w:leader="none"/>
        </w:tabs>
        <w:spacing w:lineRule="auto" w:line="276" w:before="0" w:after="170"/>
        <w:ind w:left="0" w:right="0" w:hanging="0"/>
        <w:rPr>
          <w:color w:val="000000"/>
        </w:rPr>
      </w:pPr>
      <w:r>
        <w:rPr>
          <w:rFonts w:ascii="Times New Roman" w:hAnsi="Times New Roman"/>
          <w:i w:val="false"/>
          <w:iCs w:val="false"/>
          <w:color w:val="000000"/>
          <w:sz w:val="26"/>
          <w:szCs w:val="26"/>
        </w:rPr>
        <w:t xml:space="preserve">O garantidor não é parte para figurar em processo administrativo instaurado pelo contratante com o objetivo de apurar prejuízos e/ou aplicar sanções ao Contratado. </w:t>
      </w:r>
    </w:p>
    <w:p>
      <w:pPr>
        <w:pStyle w:val="Nvel2Opcional"/>
        <w:numPr>
          <w:ilvl w:val="1"/>
          <w:numId w:val="6"/>
        </w:numPr>
        <w:tabs>
          <w:tab w:val="clear" w:pos="708"/>
          <w:tab w:val="left" w:pos="709" w:leader="none"/>
        </w:tabs>
        <w:spacing w:lineRule="auto" w:line="276" w:before="0" w:after="170"/>
        <w:ind w:left="0" w:right="0" w:hanging="0"/>
        <w:rPr>
          <w:color w:val="000000"/>
        </w:rPr>
      </w:pPr>
      <w:r>
        <w:rPr>
          <w:rFonts w:ascii="Times New Roman" w:hAnsi="Times New Roman"/>
          <w:i w:val="false"/>
          <w:iCs w:val="false"/>
          <w:color w:val="000000"/>
          <w:sz w:val="26"/>
          <w:szCs w:val="26"/>
        </w:rPr>
        <w:t>A garantia de execução é independente da que eventualmente seja prevista no Termo de Referência especificamente para os itens entregues e serviços executados.</w:t>
      </w:r>
    </w:p>
    <w:p>
      <w:pPr>
        <w:pStyle w:val="Normal"/>
        <w:spacing w:lineRule="auto" w:line="276" w:before="0" w:after="170"/>
        <w:ind w:left="0" w:right="0" w:hanging="0"/>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p>
      <w:pPr>
        <w:pStyle w:val="Nivel01Titulo"/>
        <w:numPr>
          <w:ilvl w:val="0"/>
          <w:numId w:val="1"/>
        </w:numPr>
        <w:spacing w:lineRule="auto" w:line="276" w:before="0" w:after="170"/>
        <w:ind w:left="0" w:right="0" w:hanging="0"/>
        <w:rPr>
          <w:color w:val="000000"/>
        </w:rPr>
      </w:pPr>
      <w:r>
        <w:rPr>
          <w:rFonts w:cs="Arial" w:ascii="Times New Roman" w:hAnsi="Times New Roman"/>
          <w:i w:val="false"/>
          <w:iCs w:val="false"/>
          <w:color w:val="000000"/>
          <w:sz w:val="26"/>
          <w:szCs w:val="26"/>
        </w:rPr>
        <w:t>CLÁUSULA DÉCIMA PRIMEIRA – INFRAÇÕES E SANÇÕES ADMINISTRATIVAS (art. 92, XIV)</w:t>
      </w:r>
    </w:p>
    <w:p>
      <w:pPr>
        <w:pStyle w:val="Nivel2"/>
        <w:numPr>
          <w:ilvl w:val="1"/>
          <w:numId w:val="7"/>
        </w:numPr>
        <w:spacing w:lineRule="auto" w:line="276" w:before="0" w:after="170"/>
        <w:ind w:left="0" w:right="0" w:hanging="0"/>
        <w:rPr/>
      </w:pPr>
      <w:r>
        <w:rPr>
          <w:rFonts w:ascii="Times New Roman" w:hAnsi="Times New Roman"/>
          <w:color w:val="000000"/>
          <w:sz w:val="26"/>
          <w:szCs w:val="26"/>
        </w:rPr>
        <w:t xml:space="preserve">Comete infração administrativa, nos termos da </w:t>
      </w:r>
      <w:hyperlink r:id="rId13">
        <w:r>
          <w:rPr>
            <w:rStyle w:val="LinkdaInternet"/>
            <w:rFonts w:ascii="Times New Roman" w:hAnsi="Times New Roman"/>
            <w:color w:val="000000"/>
            <w:sz w:val="26"/>
            <w:szCs w:val="26"/>
          </w:rPr>
          <w:t>Lei nº 14.133, de 2021</w:t>
        </w:r>
      </w:hyperlink>
      <w:r>
        <w:rPr>
          <w:rFonts w:ascii="Times New Roman" w:hAnsi="Times New Roman"/>
          <w:color w:val="000000"/>
          <w:sz w:val="26"/>
          <w:szCs w:val="26"/>
        </w:rPr>
        <w:t>, o contratado que:</w:t>
      </w:r>
    </w:p>
    <w:p>
      <w:pPr>
        <w:pStyle w:val="Normal"/>
        <w:numPr>
          <w:ilvl w:val="2"/>
          <w:numId w:val="7"/>
        </w:numPr>
        <w:suppressAutoHyphens w:val="true"/>
        <w:spacing w:lineRule="auto" w:line="276" w:before="0" w:after="170"/>
        <w:ind w:left="0" w:right="0" w:hanging="0"/>
        <w:jc w:val="both"/>
        <w:rPr>
          <w:color w:val="000000"/>
        </w:rPr>
      </w:pPr>
      <w:r>
        <w:rPr>
          <w:rFonts w:eastAsia="Arial" w:cs="Arial" w:ascii="Times New Roman" w:hAnsi="Times New Roman"/>
          <w:color w:val="000000"/>
          <w:sz w:val="26"/>
          <w:szCs w:val="26"/>
        </w:rPr>
        <w:t>der causa à inexecução parcial do contrato;</w:t>
      </w:r>
    </w:p>
    <w:p>
      <w:pPr>
        <w:pStyle w:val="Normal"/>
        <w:numPr>
          <w:ilvl w:val="2"/>
          <w:numId w:val="7"/>
        </w:numPr>
        <w:suppressAutoHyphens w:val="true"/>
        <w:spacing w:lineRule="auto" w:line="276" w:before="0" w:after="170"/>
        <w:ind w:left="0" w:right="0" w:hanging="0"/>
        <w:jc w:val="both"/>
        <w:rPr>
          <w:color w:val="000000"/>
        </w:rPr>
      </w:pPr>
      <w:r>
        <w:rPr>
          <w:rFonts w:eastAsia="Arial" w:cs="Arial" w:ascii="Times New Roman" w:hAnsi="Times New Roman"/>
          <w:color w:val="000000"/>
          <w:sz w:val="26"/>
          <w:szCs w:val="26"/>
        </w:rPr>
        <w:t>der causa à inexecução parcial do contrato que cause grave dano à Administração ou ao funcionamento dos serviços públicos ou ao interesse coletivo;</w:t>
      </w:r>
    </w:p>
    <w:p>
      <w:pPr>
        <w:pStyle w:val="Normal"/>
        <w:numPr>
          <w:ilvl w:val="2"/>
          <w:numId w:val="7"/>
        </w:numPr>
        <w:suppressAutoHyphens w:val="true"/>
        <w:spacing w:lineRule="auto" w:line="276" w:before="0" w:after="170"/>
        <w:ind w:left="0" w:right="0" w:hanging="0"/>
        <w:jc w:val="both"/>
        <w:rPr>
          <w:color w:val="000000"/>
        </w:rPr>
      </w:pPr>
      <w:r>
        <w:rPr>
          <w:rFonts w:eastAsia="Arial" w:cs="Arial" w:ascii="Times New Roman" w:hAnsi="Times New Roman"/>
          <w:color w:val="000000"/>
          <w:sz w:val="26"/>
          <w:szCs w:val="26"/>
        </w:rPr>
        <w:t>der causa à inexecução total do contrato;</w:t>
      </w:r>
    </w:p>
    <w:p>
      <w:pPr>
        <w:pStyle w:val="Normal"/>
        <w:numPr>
          <w:ilvl w:val="2"/>
          <w:numId w:val="7"/>
        </w:numPr>
        <w:suppressAutoHyphens w:val="true"/>
        <w:spacing w:lineRule="auto" w:line="276" w:before="0" w:after="170"/>
        <w:ind w:left="0" w:right="0" w:hanging="0"/>
        <w:jc w:val="both"/>
        <w:rPr>
          <w:color w:val="000000"/>
        </w:rPr>
      </w:pPr>
      <w:r>
        <w:rPr>
          <w:rFonts w:eastAsia="Arial" w:cs="Arial" w:ascii="Times New Roman" w:hAnsi="Times New Roman"/>
          <w:color w:val="000000"/>
          <w:sz w:val="26"/>
          <w:szCs w:val="26"/>
        </w:rPr>
        <w:t>ensejar o retardamento da execução ou da entrega do objeto da contratação sem motivo justificado;</w:t>
      </w:r>
    </w:p>
    <w:p>
      <w:pPr>
        <w:pStyle w:val="Normal"/>
        <w:numPr>
          <w:ilvl w:val="2"/>
          <w:numId w:val="7"/>
        </w:numPr>
        <w:suppressAutoHyphens w:val="true"/>
        <w:spacing w:lineRule="auto" w:line="276" w:before="0" w:after="170"/>
        <w:ind w:left="0" w:right="0" w:hanging="0"/>
        <w:jc w:val="both"/>
        <w:rPr>
          <w:color w:val="000000"/>
        </w:rPr>
      </w:pPr>
      <w:r>
        <w:rPr>
          <w:rFonts w:eastAsia="Arial" w:cs="Arial" w:ascii="Times New Roman" w:hAnsi="Times New Roman"/>
          <w:color w:val="000000"/>
          <w:sz w:val="26"/>
          <w:szCs w:val="26"/>
        </w:rPr>
        <w:t>apresentar documentação falsa ou prestar declaração falsa durante a execução do contrato;</w:t>
      </w:r>
    </w:p>
    <w:p>
      <w:pPr>
        <w:pStyle w:val="Normal"/>
        <w:numPr>
          <w:ilvl w:val="2"/>
          <w:numId w:val="7"/>
        </w:numPr>
        <w:suppressAutoHyphens w:val="true"/>
        <w:spacing w:lineRule="auto" w:line="276" w:before="0" w:after="170"/>
        <w:ind w:left="0" w:right="0" w:hanging="0"/>
        <w:jc w:val="both"/>
        <w:rPr>
          <w:color w:val="000000"/>
        </w:rPr>
      </w:pPr>
      <w:r>
        <w:rPr>
          <w:rFonts w:eastAsia="Arial" w:cs="Arial" w:ascii="Times New Roman" w:hAnsi="Times New Roman"/>
          <w:color w:val="000000"/>
          <w:sz w:val="26"/>
          <w:szCs w:val="26"/>
        </w:rPr>
        <w:t>praticar ato fraudulento na execução do contrato;</w:t>
      </w:r>
    </w:p>
    <w:p>
      <w:pPr>
        <w:pStyle w:val="Normal"/>
        <w:numPr>
          <w:ilvl w:val="2"/>
          <w:numId w:val="7"/>
        </w:numPr>
        <w:suppressAutoHyphens w:val="true"/>
        <w:spacing w:lineRule="auto" w:line="276" w:before="0" w:after="170"/>
        <w:ind w:left="0" w:right="0" w:hanging="0"/>
        <w:jc w:val="both"/>
        <w:rPr>
          <w:color w:val="000000"/>
        </w:rPr>
      </w:pPr>
      <w:r>
        <w:rPr>
          <w:rFonts w:eastAsia="Arial" w:cs="Arial" w:ascii="Times New Roman" w:hAnsi="Times New Roman"/>
          <w:color w:val="000000"/>
          <w:sz w:val="26"/>
          <w:szCs w:val="26"/>
        </w:rPr>
        <w:t>comportar-se de modo inidôneo ou cometer fraude de qualquer natureza;</w:t>
      </w:r>
    </w:p>
    <w:p>
      <w:pPr>
        <w:pStyle w:val="Normal"/>
        <w:numPr>
          <w:ilvl w:val="2"/>
          <w:numId w:val="7"/>
        </w:numPr>
        <w:suppressAutoHyphens w:val="true"/>
        <w:spacing w:lineRule="auto" w:line="276" w:before="0" w:after="170"/>
        <w:ind w:left="0" w:right="0" w:hanging="0"/>
        <w:jc w:val="both"/>
        <w:rPr/>
      </w:pPr>
      <w:r>
        <w:rPr>
          <w:rFonts w:eastAsia="Arial" w:cs="Arial" w:ascii="Times New Roman" w:hAnsi="Times New Roman"/>
          <w:color w:val="000000"/>
          <w:sz w:val="26"/>
          <w:szCs w:val="26"/>
        </w:rPr>
        <w:t xml:space="preserve">praticar ato lesivo previsto no </w:t>
      </w:r>
      <w:r>
        <w:fldChar w:fldCharType="begin"/>
      </w:r>
      <w:r>
        <w:rPr>
          <w:rStyle w:val="LinkdaInternet"/>
          <w:sz w:val="26"/>
          <w:szCs w:val="26"/>
          <w:rFonts w:eastAsia="Arial" w:cs="Arial" w:ascii="Times New Roman" w:hAnsi="Times New Roman"/>
          <w:color w:val="000000"/>
        </w:rPr>
        <w:instrText> HYPERLINK "https://www.planalto.gov.br/ccivil_03/_ato2011-2014/2013/lei/l12846.htm" \l "art5"</w:instrText>
      </w:r>
      <w:r>
        <w:rPr>
          <w:rStyle w:val="LinkdaInternet"/>
          <w:sz w:val="26"/>
          <w:szCs w:val="26"/>
          <w:rFonts w:eastAsia="Arial" w:cs="Arial" w:ascii="Times New Roman" w:hAnsi="Times New Roman"/>
          <w:color w:val="000000"/>
        </w:rPr>
        <w:fldChar w:fldCharType="separate"/>
      </w:r>
      <w:r>
        <w:rPr>
          <w:rStyle w:val="LinkdaInternet"/>
          <w:rFonts w:eastAsia="Arial" w:cs="Arial" w:ascii="Times New Roman" w:hAnsi="Times New Roman"/>
          <w:color w:val="000000"/>
          <w:sz w:val="26"/>
          <w:szCs w:val="26"/>
        </w:rPr>
        <w:t>art. 5º da Lei nº 12.846, de 1º de agosto de 2013</w:t>
      </w:r>
      <w:r>
        <w:rPr>
          <w:rStyle w:val="LinkdaInternet"/>
          <w:sz w:val="26"/>
          <w:szCs w:val="26"/>
          <w:rFonts w:eastAsia="Arial" w:cs="Arial" w:ascii="Times New Roman" w:hAnsi="Times New Roman"/>
          <w:color w:val="000000"/>
        </w:rPr>
        <w:fldChar w:fldCharType="end"/>
      </w:r>
      <w:r>
        <w:rPr>
          <w:rFonts w:eastAsia="Arial" w:cs="Arial" w:ascii="Times New Roman" w:hAnsi="Times New Roman"/>
          <w:color w:val="000000"/>
          <w:sz w:val="26"/>
          <w:szCs w:val="26"/>
        </w:rPr>
        <w:t>.</w:t>
      </w:r>
    </w:p>
    <w:p>
      <w:pPr>
        <w:pStyle w:val="Nivel2"/>
        <w:numPr>
          <w:ilvl w:val="1"/>
          <w:numId w:val="7"/>
        </w:numPr>
        <w:spacing w:lineRule="auto" w:line="276" w:before="0" w:after="170"/>
        <w:ind w:left="0" w:right="0" w:hanging="0"/>
        <w:rPr>
          <w:color w:val="000000"/>
        </w:rPr>
      </w:pPr>
      <w:r>
        <w:rPr>
          <w:rFonts w:ascii="Times New Roman" w:hAnsi="Times New Roman"/>
          <w:color w:val="000000"/>
          <w:sz w:val="26"/>
          <w:szCs w:val="26"/>
        </w:rPr>
        <w:t>Serão aplicadas ao contratado que incorrer nas infrações acima descritas as seguintes sanções:</w:t>
      </w:r>
    </w:p>
    <w:p>
      <w:pPr>
        <w:pStyle w:val="Normal"/>
        <w:numPr>
          <w:ilvl w:val="2"/>
          <w:numId w:val="7"/>
        </w:numPr>
        <w:suppressAutoHyphens w:val="true"/>
        <w:spacing w:lineRule="auto" w:line="276" w:before="0" w:after="170"/>
        <w:ind w:left="0" w:right="0" w:hanging="0"/>
        <w:jc w:val="both"/>
        <w:rPr/>
      </w:pPr>
      <w:r>
        <w:rPr>
          <w:rFonts w:eastAsia="Arial" w:cs="Arial" w:ascii="Times New Roman" w:hAnsi="Times New Roman"/>
          <w:b/>
          <w:bCs/>
          <w:color w:val="000000"/>
          <w:sz w:val="26"/>
          <w:szCs w:val="26"/>
        </w:rPr>
        <w:t>Advertência</w:t>
      </w:r>
      <w:r>
        <w:rPr>
          <w:rFonts w:eastAsia="Arial" w:cs="Arial" w:ascii="Times New Roman" w:hAnsi="Times New Roman"/>
          <w:color w:val="000000"/>
          <w:sz w:val="26"/>
          <w:szCs w:val="26"/>
        </w:rPr>
        <w:t>, quando o contratado der causa à inexecução parcial do contrato, sempre que não se justificar a imposição de penalidade mais grave (</w:t>
      </w:r>
      <w:r>
        <w:fldChar w:fldCharType="begin"/>
      </w:r>
      <w:r>
        <w:rPr>
          <w:rStyle w:val="LinkdaInternet"/>
          <w:sz w:val="26"/>
          <w:szCs w:val="26"/>
          <w:rFonts w:eastAsia="Arial" w:cs="Arial" w:ascii="Times New Roman" w:hAnsi="Times New Roman"/>
          <w:color w:val="000000"/>
        </w:rPr>
        <w:instrText> HYPERLINK "http://www.planalto.gov.br/ccivil_03/_ato2019-2022/2021/lei/L14133.htm" \l "art156§2"</w:instrText>
      </w:r>
      <w:r>
        <w:rPr>
          <w:rStyle w:val="LinkdaInternet"/>
          <w:sz w:val="26"/>
          <w:szCs w:val="26"/>
          <w:rFonts w:eastAsia="Arial" w:cs="Arial" w:ascii="Times New Roman" w:hAnsi="Times New Roman"/>
          <w:color w:val="000000"/>
        </w:rPr>
        <w:fldChar w:fldCharType="separate"/>
      </w:r>
      <w:r>
        <w:rPr>
          <w:rStyle w:val="LinkdaInternet"/>
          <w:rFonts w:eastAsia="Arial" w:cs="Arial" w:ascii="Times New Roman" w:hAnsi="Times New Roman"/>
          <w:color w:val="000000"/>
          <w:sz w:val="26"/>
          <w:szCs w:val="26"/>
        </w:rPr>
        <w:t xml:space="preserve">art. 156, §2º, da </w:t>
      </w:r>
      <w:r>
        <w:rPr>
          <w:rStyle w:val="LinkdaInternet"/>
          <w:sz w:val="26"/>
          <w:szCs w:val="26"/>
          <w:rFonts w:eastAsia="Arial" w:cs="Arial" w:ascii="Times New Roman" w:hAnsi="Times New Roman"/>
          <w:color w:val="000000"/>
        </w:rPr>
        <w:fldChar w:fldCharType="end"/>
      </w:r>
      <w:bookmarkStart w:id="3" w:name="_Hlk114504069"/>
      <w:r>
        <w:rPr>
          <w:rStyle w:val="LinkdaInternet"/>
          <w:rFonts w:eastAsia="Arial" w:cs="Arial" w:ascii="Times New Roman" w:hAnsi="Times New Roman"/>
          <w:color w:val="000000"/>
          <w:sz w:val="26"/>
          <w:szCs w:val="26"/>
        </w:rPr>
        <w:t>Lei nº 14.133, de 2021</w:t>
      </w:r>
      <w:bookmarkEnd w:id="3"/>
      <w:r>
        <w:rPr>
          <w:rFonts w:eastAsia="Arial" w:cs="Arial" w:ascii="Times New Roman" w:hAnsi="Times New Roman"/>
          <w:color w:val="000000"/>
          <w:sz w:val="26"/>
          <w:szCs w:val="26"/>
        </w:rPr>
        <w:t>);</w:t>
      </w:r>
    </w:p>
    <w:p>
      <w:pPr>
        <w:pStyle w:val="Normal"/>
        <w:numPr>
          <w:ilvl w:val="2"/>
          <w:numId w:val="7"/>
        </w:numPr>
        <w:suppressAutoHyphens w:val="true"/>
        <w:spacing w:lineRule="auto" w:line="276" w:before="0" w:after="170"/>
        <w:ind w:left="0" w:right="0" w:hanging="0"/>
        <w:jc w:val="both"/>
        <w:rPr/>
      </w:pPr>
      <w:r>
        <w:rPr>
          <w:rFonts w:eastAsia="Arial" w:cs="Arial" w:ascii="Times New Roman" w:hAnsi="Times New Roman"/>
          <w:b/>
          <w:bCs/>
          <w:color w:val="000000"/>
          <w:sz w:val="26"/>
          <w:szCs w:val="26"/>
        </w:rPr>
        <w:t>Impedimento de licitar e contratar</w:t>
      </w:r>
      <w:r>
        <w:rPr>
          <w:rFonts w:eastAsia="Arial" w:cs="Arial" w:ascii="Times New Roman" w:hAnsi="Times New Roman"/>
          <w:color w:val="000000"/>
          <w:sz w:val="26"/>
          <w:szCs w:val="26"/>
        </w:rPr>
        <w:t>, quando praticadas as condutas descritas nas alíneas “b”, “c” e “d” do subitem acima deste Contrato, sempre que não se justificar a imposição de penalidade mais grave (</w:t>
      </w:r>
      <w:r>
        <w:fldChar w:fldCharType="begin"/>
      </w:r>
      <w:r>
        <w:rPr>
          <w:rStyle w:val="LinkdaInternet"/>
          <w:sz w:val="26"/>
          <w:szCs w:val="26"/>
          <w:rFonts w:eastAsia="Arial" w:cs="Arial" w:ascii="Times New Roman" w:hAnsi="Times New Roman"/>
          <w:color w:val="000000"/>
        </w:rPr>
        <w:instrText> HYPERLINK "http://www.planalto.gov.br/ccivil_03/_ato2019-2022/2021/lei/L14133.htm" \l "art156§4"</w:instrText>
      </w:r>
      <w:r>
        <w:rPr>
          <w:rStyle w:val="LinkdaInternet"/>
          <w:sz w:val="26"/>
          <w:szCs w:val="26"/>
          <w:rFonts w:eastAsia="Arial" w:cs="Arial" w:ascii="Times New Roman" w:hAnsi="Times New Roman"/>
          <w:color w:val="000000"/>
        </w:rPr>
        <w:fldChar w:fldCharType="separate"/>
      </w:r>
      <w:r>
        <w:rPr>
          <w:rStyle w:val="LinkdaInternet"/>
          <w:rFonts w:eastAsia="Arial" w:cs="Arial" w:ascii="Times New Roman" w:hAnsi="Times New Roman"/>
          <w:color w:val="000000"/>
          <w:sz w:val="26"/>
          <w:szCs w:val="26"/>
        </w:rPr>
        <w:t>art. 156, § 4º, da Lei nº 14.133, de 2021</w:t>
      </w:r>
      <w:r>
        <w:rPr>
          <w:rStyle w:val="LinkdaInternet"/>
          <w:sz w:val="26"/>
          <w:szCs w:val="26"/>
          <w:rFonts w:eastAsia="Arial" w:cs="Arial" w:ascii="Times New Roman" w:hAnsi="Times New Roman"/>
          <w:color w:val="000000"/>
        </w:rPr>
        <w:fldChar w:fldCharType="end"/>
      </w:r>
      <w:r>
        <w:rPr>
          <w:rFonts w:eastAsia="Arial" w:cs="Arial" w:ascii="Times New Roman" w:hAnsi="Times New Roman"/>
          <w:color w:val="000000"/>
          <w:sz w:val="26"/>
          <w:szCs w:val="26"/>
        </w:rPr>
        <w:t>);</w:t>
      </w:r>
    </w:p>
    <w:p>
      <w:pPr>
        <w:pStyle w:val="Normal"/>
        <w:numPr>
          <w:ilvl w:val="2"/>
          <w:numId w:val="7"/>
        </w:numPr>
        <w:suppressAutoHyphens w:val="true"/>
        <w:spacing w:lineRule="auto" w:line="276" w:before="0" w:after="170"/>
        <w:ind w:left="0" w:right="0" w:hanging="0"/>
        <w:jc w:val="both"/>
        <w:rPr/>
      </w:pPr>
      <w:r>
        <w:rPr>
          <w:rFonts w:eastAsia="Arial" w:cs="Arial" w:ascii="Times New Roman" w:hAnsi="Times New Roman"/>
          <w:b/>
          <w:bCs/>
          <w:color w:val="000000"/>
          <w:sz w:val="26"/>
          <w:szCs w:val="26"/>
        </w:rPr>
        <w:t>Declaração de inidoneidade para licitar e contratar</w:t>
      </w:r>
      <w:r>
        <w:rPr>
          <w:rFonts w:eastAsia="Arial" w:cs="Arial" w:ascii="Times New Roman" w:hAnsi="Times New Roman"/>
          <w:color w:val="000000"/>
          <w:sz w:val="26"/>
          <w:szCs w:val="26"/>
        </w:rPr>
        <w:t>, quando praticadas as condutas descritas nas alíneas “e”, “f”, “g” e “h” do subitem acima deste Contrato, bem como nas alíneas “b”, “c” e “d”, que justifiquem a imposição de penalidade mais grave (</w:t>
      </w:r>
      <w:r>
        <w:fldChar w:fldCharType="begin"/>
      </w:r>
      <w:r>
        <w:rPr>
          <w:rStyle w:val="LinkdaInternet"/>
          <w:sz w:val="26"/>
          <w:szCs w:val="26"/>
          <w:rFonts w:eastAsia="Arial" w:cs="Arial" w:ascii="Times New Roman" w:hAnsi="Times New Roman"/>
          <w:color w:val="000000"/>
        </w:rPr>
        <w:instrText> HYPERLINK "http://www.planalto.gov.br/ccivil_03/_ato2019-2022/2021/lei/L14133.htm" \l "art156§5"</w:instrText>
      </w:r>
      <w:r>
        <w:rPr>
          <w:rStyle w:val="LinkdaInternet"/>
          <w:sz w:val="26"/>
          <w:szCs w:val="26"/>
          <w:rFonts w:eastAsia="Arial" w:cs="Arial" w:ascii="Times New Roman" w:hAnsi="Times New Roman"/>
          <w:color w:val="000000"/>
        </w:rPr>
        <w:fldChar w:fldCharType="separate"/>
      </w:r>
      <w:r>
        <w:rPr>
          <w:rStyle w:val="LinkdaInternet"/>
          <w:rFonts w:eastAsia="Arial" w:cs="Arial" w:ascii="Times New Roman" w:hAnsi="Times New Roman"/>
          <w:color w:val="000000"/>
          <w:sz w:val="26"/>
          <w:szCs w:val="26"/>
        </w:rPr>
        <w:t>art. 156, §5º, da Lei nº 14.133, de 2021</w:t>
      </w:r>
      <w:r>
        <w:rPr>
          <w:rStyle w:val="LinkdaInternet"/>
          <w:sz w:val="26"/>
          <w:szCs w:val="26"/>
          <w:rFonts w:eastAsia="Arial" w:cs="Arial" w:ascii="Times New Roman" w:hAnsi="Times New Roman"/>
          <w:color w:val="000000"/>
        </w:rPr>
        <w:fldChar w:fldCharType="end"/>
      </w:r>
      <w:r>
        <w:rPr>
          <w:rFonts w:eastAsia="Arial" w:cs="Arial" w:ascii="Times New Roman" w:hAnsi="Times New Roman"/>
          <w:color w:val="000000"/>
          <w:sz w:val="26"/>
          <w:szCs w:val="26"/>
        </w:rPr>
        <w:t>).</w:t>
      </w:r>
    </w:p>
    <w:p>
      <w:pPr>
        <w:pStyle w:val="Normal"/>
        <w:numPr>
          <w:ilvl w:val="2"/>
          <w:numId w:val="7"/>
        </w:numPr>
        <w:suppressAutoHyphens w:val="true"/>
        <w:spacing w:lineRule="auto" w:line="276" w:before="0" w:after="170"/>
        <w:ind w:left="0" w:right="0" w:hanging="0"/>
        <w:jc w:val="both"/>
        <w:rPr>
          <w:color w:val="000000"/>
        </w:rPr>
      </w:pPr>
      <w:r>
        <w:rPr>
          <w:rFonts w:eastAsia="Arial" w:cs="Arial" w:ascii="Times New Roman" w:hAnsi="Times New Roman"/>
          <w:b/>
          <w:bCs/>
          <w:color w:val="000000"/>
          <w:sz w:val="26"/>
          <w:szCs w:val="26"/>
        </w:rPr>
        <w:t>Multa:</w:t>
      </w:r>
    </w:p>
    <w:p>
      <w:pPr>
        <w:pStyle w:val="Normal"/>
        <w:numPr>
          <w:ilvl w:val="3"/>
          <w:numId w:val="7"/>
        </w:numPr>
        <w:suppressAutoHyphens w:val="true"/>
        <w:spacing w:lineRule="auto" w:line="276" w:before="0" w:after="170"/>
        <w:ind w:left="0" w:right="0" w:hanging="0"/>
        <w:jc w:val="both"/>
        <w:rPr>
          <w:color w:val="000000"/>
        </w:rPr>
      </w:pPr>
      <w:r>
        <w:rPr>
          <w:rFonts w:eastAsia="Arial" w:cs="Arial" w:ascii="Times New Roman" w:hAnsi="Times New Roman"/>
          <w:color w:val="000000"/>
          <w:sz w:val="26"/>
          <w:szCs w:val="26"/>
        </w:rPr>
        <w:t>Moratória de 0,5 % por dia de atraso injustificado sobre o valor da parcela inadimplida, até o limite de 30 dias;</w:t>
      </w:r>
    </w:p>
    <w:p>
      <w:pPr>
        <w:pStyle w:val="Normal"/>
        <w:numPr>
          <w:ilvl w:val="3"/>
          <w:numId w:val="7"/>
        </w:numPr>
        <w:suppressAutoHyphens w:val="true"/>
        <w:spacing w:lineRule="auto" w:line="276" w:before="0" w:after="170"/>
        <w:ind w:left="0" w:right="0" w:hanging="0"/>
        <w:jc w:val="both"/>
        <w:rPr>
          <w:color w:val="000000"/>
        </w:rPr>
      </w:pPr>
      <w:r>
        <w:rPr>
          <w:rFonts w:eastAsia="Arial" w:cs="Arial" w:ascii="Times New Roman" w:hAnsi="Times New Roman"/>
          <w:i/>
          <w:iCs/>
          <w:color w:val="000000"/>
          <w:sz w:val="26"/>
          <w:szCs w:val="26"/>
        </w:rPr>
        <w:t xml:space="preserve">Moratória de 0,07% (sete centésimos por cento) do valor total do contrato por dia de atraso injustificado, até o máximo de 2% (dois por cento), pela inobservância do prazo fixado para apresentação, suplementação ou reposição da garantia. </w:t>
      </w:r>
    </w:p>
    <w:p>
      <w:pPr>
        <w:pStyle w:val="Normal"/>
        <w:numPr>
          <w:ilvl w:val="7"/>
          <w:numId w:val="7"/>
        </w:numPr>
        <w:suppressAutoHyphens w:val="true"/>
        <w:spacing w:lineRule="auto" w:line="276" w:before="0" w:after="170"/>
        <w:ind w:left="0" w:right="0" w:hanging="0"/>
        <w:jc w:val="both"/>
        <w:rPr/>
      </w:pPr>
      <w:r>
        <w:rPr>
          <w:rFonts w:eastAsia="Arial" w:cs="Arial" w:ascii="Times New Roman" w:hAnsi="Times New Roman"/>
          <w:i/>
          <w:iCs/>
          <w:color w:val="000000"/>
          <w:sz w:val="26"/>
          <w:szCs w:val="26"/>
        </w:rPr>
        <w:t xml:space="preserve">O atraso superior a 25 (vinte e cinco) dias autoriza a Administração a promover a extinção do contrato por descumprimento ou cumprimento irregular de suas cláusulas, conforme dispõe o </w:t>
      </w:r>
      <w:r>
        <w:fldChar w:fldCharType="begin"/>
      </w:r>
      <w:r>
        <w:rPr>
          <w:rStyle w:val="LinkdaInternet"/>
          <w:sz w:val="26"/>
          <w:i/>
          <w:szCs w:val="26"/>
          <w:iCs/>
          <w:rFonts w:eastAsia="Arial" w:cs="Arial" w:ascii="Times New Roman" w:hAnsi="Times New Roman"/>
          <w:color w:val="000000"/>
        </w:rPr>
        <w:instrText> HYPERLINK "http://www.planalto.gov.br/ccivil_03/_ato2019-2022/2021/lei/L14133.htm" \l "art137"</w:instrText>
      </w:r>
      <w:r>
        <w:rPr>
          <w:rStyle w:val="LinkdaInternet"/>
          <w:sz w:val="26"/>
          <w:i/>
          <w:szCs w:val="26"/>
          <w:iCs/>
          <w:rFonts w:eastAsia="Arial" w:cs="Arial" w:ascii="Times New Roman" w:hAnsi="Times New Roman"/>
          <w:color w:val="000000"/>
        </w:rPr>
        <w:fldChar w:fldCharType="separate"/>
      </w:r>
      <w:r>
        <w:rPr>
          <w:rStyle w:val="LinkdaInternet"/>
          <w:rFonts w:eastAsia="Arial" w:cs="Arial" w:ascii="Times New Roman" w:hAnsi="Times New Roman"/>
          <w:i/>
          <w:iCs/>
          <w:color w:val="000000"/>
          <w:sz w:val="26"/>
          <w:szCs w:val="26"/>
        </w:rPr>
        <w:t>inciso I do art. 137 da Lei n. 14.133, de 2021</w:t>
      </w:r>
      <w:r>
        <w:rPr>
          <w:rStyle w:val="LinkdaInternet"/>
          <w:sz w:val="26"/>
          <w:i/>
          <w:szCs w:val="26"/>
          <w:iCs/>
          <w:rFonts w:eastAsia="Arial" w:cs="Arial" w:ascii="Times New Roman" w:hAnsi="Times New Roman"/>
          <w:color w:val="000000"/>
        </w:rPr>
        <w:fldChar w:fldCharType="end"/>
      </w:r>
      <w:r>
        <w:rPr>
          <w:rFonts w:eastAsia="Arial" w:cs="Arial" w:ascii="Times New Roman" w:hAnsi="Times New Roman"/>
          <w:i/>
          <w:iCs/>
          <w:color w:val="000000"/>
          <w:sz w:val="26"/>
          <w:szCs w:val="26"/>
        </w:rPr>
        <w:t xml:space="preserve">. </w:t>
      </w:r>
    </w:p>
    <w:p>
      <w:pPr>
        <w:pStyle w:val="Normal"/>
        <w:numPr>
          <w:ilvl w:val="3"/>
          <w:numId w:val="7"/>
        </w:numPr>
        <w:suppressAutoHyphens w:val="true"/>
        <w:spacing w:lineRule="auto" w:line="276" w:before="0" w:after="170"/>
        <w:ind w:left="0" w:right="0" w:hanging="0"/>
        <w:jc w:val="both"/>
        <w:rPr>
          <w:color w:val="000000"/>
        </w:rPr>
      </w:pPr>
      <w:r>
        <w:rPr>
          <w:rFonts w:eastAsia="Arial" w:cs="Arial" w:ascii="Times New Roman" w:hAnsi="Times New Roman"/>
          <w:color w:val="000000"/>
          <w:sz w:val="26"/>
          <w:szCs w:val="26"/>
        </w:rPr>
        <w:t xml:space="preserve">Compensatória, para as infrações descritas nas alíneas “e” a “h” do subitem 12.1, de </w:t>
      </w:r>
      <w:r>
        <w:rPr>
          <w:rFonts w:eastAsia="Arial" w:cs="Arial" w:ascii="Times New Roman" w:hAnsi="Times New Roman"/>
          <w:color w:val="000000"/>
          <w:kern w:val="0"/>
          <w:sz w:val="26"/>
          <w:szCs w:val="26"/>
          <w:lang w:val="pt-BR" w:eastAsia="en-US" w:bidi="ar-SA"/>
        </w:rPr>
        <w:t>1</w:t>
      </w:r>
      <w:r>
        <w:rPr>
          <w:rFonts w:eastAsia="Arial" w:cs="Arial" w:ascii="Times New Roman" w:hAnsi="Times New Roman"/>
          <w:color w:val="000000"/>
          <w:sz w:val="26"/>
          <w:szCs w:val="26"/>
        </w:rPr>
        <w:t xml:space="preserve">% a </w:t>
      </w:r>
      <w:r>
        <w:rPr>
          <w:rFonts w:eastAsia="Arial" w:cs="Arial" w:ascii="Times New Roman" w:hAnsi="Times New Roman"/>
          <w:color w:val="000000"/>
          <w:kern w:val="0"/>
          <w:sz w:val="26"/>
          <w:szCs w:val="26"/>
          <w:lang w:val="pt-BR" w:eastAsia="en-US" w:bidi="ar-SA"/>
        </w:rPr>
        <w:t>20</w:t>
      </w:r>
      <w:r>
        <w:rPr>
          <w:rFonts w:eastAsia="Arial" w:cs="Arial" w:ascii="Times New Roman" w:hAnsi="Times New Roman"/>
          <w:color w:val="000000"/>
          <w:sz w:val="26"/>
          <w:szCs w:val="26"/>
        </w:rPr>
        <w:t>% do valor do Contrato.</w:t>
      </w:r>
    </w:p>
    <w:p>
      <w:pPr>
        <w:pStyle w:val="Normal"/>
        <w:numPr>
          <w:ilvl w:val="3"/>
          <w:numId w:val="7"/>
        </w:numPr>
        <w:suppressAutoHyphens w:val="true"/>
        <w:spacing w:lineRule="auto" w:line="276" w:before="0" w:after="170"/>
        <w:ind w:left="0" w:right="0" w:hanging="0"/>
        <w:jc w:val="both"/>
        <w:rPr>
          <w:color w:val="000000"/>
        </w:rPr>
      </w:pPr>
      <w:r>
        <w:rPr>
          <w:rFonts w:eastAsia="Arial" w:cs="Arial" w:ascii="Times New Roman" w:hAnsi="Times New Roman"/>
          <w:color w:val="000000"/>
          <w:sz w:val="26"/>
          <w:szCs w:val="26"/>
        </w:rPr>
        <w:t xml:space="preserve">Compensatória, para a inexecução total do contrato prevista na alínea “c” do subitem 12.1, de </w:t>
      </w:r>
      <w:r>
        <w:rPr>
          <w:rFonts w:eastAsia="Arial" w:cs="Arial" w:ascii="Times New Roman" w:hAnsi="Times New Roman"/>
          <w:color w:val="000000"/>
          <w:kern w:val="0"/>
          <w:sz w:val="26"/>
          <w:szCs w:val="26"/>
          <w:lang w:val="pt-BR" w:eastAsia="en-US" w:bidi="ar-SA"/>
        </w:rPr>
        <w:t>1</w:t>
      </w:r>
      <w:r>
        <w:rPr>
          <w:rFonts w:eastAsia="Arial" w:cs="Arial" w:ascii="Times New Roman" w:hAnsi="Times New Roman"/>
          <w:color w:val="000000"/>
          <w:sz w:val="26"/>
          <w:szCs w:val="26"/>
        </w:rPr>
        <w:t xml:space="preserve">% a </w:t>
      </w:r>
      <w:r>
        <w:rPr>
          <w:rFonts w:eastAsia="Arial" w:cs="Arial" w:ascii="Times New Roman" w:hAnsi="Times New Roman"/>
          <w:color w:val="000000"/>
          <w:kern w:val="0"/>
          <w:sz w:val="26"/>
          <w:szCs w:val="26"/>
          <w:lang w:val="pt-BR" w:eastAsia="en-US" w:bidi="ar-SA"/>
        </w:rPr>
        <w:t>20</w:t>
      </w:r>
      <w:r>
        <w:rPr>
          <w:rFonts w:eastAsia="Arial" w:cs="Arial" w:ascii="Times New Roman" w:hAnsi="Times New Roman"/>
          <w:color w:val="000000"/>
          <w:sz w:val="26"/>
          <w:szCs w:val="26"/>
        </w:rPr>
        <w:t xml:space="preserve">%  do valor do Contrato. </w:t>
      </w:r>
    </w:p>
    <w:p>
      <w:pPr>
        <w:pStyle w:val="Normal"/>
        <w:numPr>
          <w:ilvl w:val="3"/>
          <w:numId w:val="7"/>
        </w:numPr>
        <w:suppressAutoHyphens w:val="true"/>
        <w:spacing w:lineRule="auto" w:line="276" w:before="0" w:after="170"/>
        <w:ind w:left="0" w:right="0" w:hanging="0"/>
        <w:jc w:val="both"/>
        <w:rPr>
          <w:color w:val="000000"/>
        </w:rPr>
      </w:pPr>
      <w:r>
        <w:rPr>
          <w:rFonts w:eastAsia="Arial" w:cs="Arial" w:ascii="Times New Roman" w:hAnsi="Times New Roman"/>
          <w:color w:val="000000"/>
          <w:sz w:val="26"/>
          <w:szCs w:val="26"/>
        </w:rPr>
        <w:t xml:space="preserve">Para infração descrita na alínea “b” do subitem 12.1, a multa será de </w:t>
      </w:r>
      <w:r>
        <w:rPr>
          <w:rFonts w:eastAsia="Arial" w:cs="Arial" w:ascii="Times New Roman" w:hAnsi="Times New Roman"/>
          <w:color w:val="000000"/>
          <w:kern w:val="0"/>
          <w:sz w:val="26"/>
          <w:szCs w:val="26"/>
          <w:lang w:val="pt-BR" w:eastAsia="en-US" w:bidi="ar-SA"/>
        </w:rPr>
        <w:t>1</w:t>
      </w:r>
      <w:r>
        <w:rPr>
          <w:rFonts w:eastAsia="Arial" w:cs="Arial" w:ascii="Times New Roman" w:hAnsi="Times New Roman"/>
          <w:color w:val="000000"/>
          <w:sz w:val="26"/>
          <w:szCs w:val="26"/>
        </w:rPr>
        <w:t xml:space="preserve">% a </w:t>
      </w:r>
      <w:r>
        <w:rPr>
          <w:rFonts w:eastAsia="Arial" w:cs="Arial" w:ascii="Times New Roman" w:hAnsi="Times New Roman"/>
          <w:color w:val="000000"/>
          <w:kern w:val="0"/>
          <w:sz w:val="26"/>
          <w:szCs w:val="26"/>
          <w:lang w:val="pt-BR" w:eastAsia="en-US" w:bidi="ar-SA"/>
        </w:rPr>
        <w:t>20</w:t>
      </w:r>
      <w:r>
        <w:rPr>
          <w:rFonts w:eastAsia="Arial" w:cs="Arial" w:ascii="Times New Roman" w:hAnsi="Times New Roman"/>
          <w:color w:val="000000"/>
          <w:sz w:val="26"/>
          <w:szCs w:val="26"/>
        </w:rPr>
        <w:t>%  do valor do Contrato.</w:t>
      </w:r>
    </w:p>
    <w:p>
      <w:pPr>
        <w:pStyle w:val="Normal"/>
        <w:numPr>
          <w:ilvl w:val="3"/>
          <w:numId w:val="7"/>
        </w:numPr>
        <w:suppressAutoHyphens w:val="true"/>
        <w:spacing w:lineRule="auto" w:line="276" w:before="0" w:after="170"/>
        <w:ind w:left="0" w:right="0" w:hanging="0"/>
        <w:jc w:val="both"/>
        <w:rPr>
          <w:color w:val="000000"/>
        </w:rPr>
      </w:pPr>
      <w:r>
        <w:rPr>
          <w:rFonts w:eastAsia="Arial" w:cs="Arial" w:ascii="Times New Roman" w:hAnsi="Times New Roman"/>
          <w:color w:val="000000"/>
          <w:sz w:val="26"/>
          <w:szCs w:val="26"/>
        </w:rPr>
        <w:t xml:space="preserve">Para infrações descritas na alínea “d” do subitem 12.1, a multa será de </w:t>
      </w:r>
      <w:r>
        <w:rPr>
          <w:rFonts w:eastAsia="Arial" w:cs="Arial" w:ascii="Times New Roman" w:hAnsi="Times New Roman"/>
          <w:color w:val="000000"/>
          <w:kern w:val="0"/>
          <w:sz w:val="26"/>
          <w:szCs w:val="26"/>
          <w:lang w:val="pt-BR" w:eastAsia="en-US" w:bidi="ar-SA"/>
        </w:rPr>
        <w:t>1</w:t>
      </w:r>
      <w:r>
        <w:rPr>
          <w:rFonts w:eastAsia="Arial" w:cs="Arial" w:ascii="Times New Roman" w:hAnsi="Times New Roman"/>
          <w:color w:val="000000"/>
          <w:sz w:val="26"/>
          <w:szCs w:val="26"/>
        </w:rPr>
        <w:t xml:space="preserve">% a </w:t>
      </w:r>
      <w:r>
        <w:rPr>
          <w:rFonts w:eastAsia="Arial" w:cs="Arial" w:ascii="Times New Roman" w:hAnsi="Times New Roman"/>
          <w:color w:val="000000"/>
          <w:kern w:val="0"/>
          <w:sz w:val="26"/>
          <w:szCs w:val="26"/>
          <w:lang w:val="pt-BR" w:eastAsia="en-US" w:bidi="ar-SA"/>
        </w:rPr>
        <w:t>20</w:t>
      </w:r>
      <w:r>
        <w:rPr>
          <w:rFonts w:eastAsia="Arial" w:cs="Arial" w:ascii="Times New Roman" w:hAnsi="Times New Roman"/>
          <w:color w:val="000000"/>
          <w:sz w:val="26"/>
          <w:szCs w:val="26"/>
        </w:rPr>
        <w:t>%  do valor do Contrato.</w:t>
      </w:r>
    </w:p>
    <w:p>
      <w:pPr>
        <w:pStyle w:val="Normal"/>
        <w:numPr>
          <w:ilvl w:val="3"/>
          <w:numId w:val="7"/>
        </w:numPr>
        <w:suppressAutoHyphens w:val="true"/>
        <w:spacing w:lineRule="auto" w:line="276" w:before="0" w:after="170"/>
        <w:ind w:left="0" w:right="0" w:hanging="0"/>
        <w:jc w:val="both"/>
        <w:rPr>
          <w:color w:val="000000"/>
        </w:rPr>
      </w:pPr>
      <w:r>
        <w:rPr>
          <w:rFonts w:eastAsia="Arial" w:cs="Arial" w:ascii="Times New Roman" w:hAnsi="Times New Roman"/>
          <w:color w:val="000000"/>
          <w:sz w:val="26"/>
          <w:szCs w:val="26"/>
        </w:rPr>
        <w:t xml:space="preserve">Para a infração descrita na alínea “a” do subitem 12.1, a multa será de </w:t>
      </w:r>
      <w:r>
        <w:rPr>
          <w:rFonts w:eastAsia="Arial" w:cs="Arial" w:ascii="Times New Roman" w:hAnsi="Times New Roman"/>
          <w:color w:val="000000"/>
          <w:kern w:val="0"/>
          <w:sz w:val="26"/>
          <w:szCs w:val="26"/>
          <w:lang w:val="pt-BR" w:eastAsia="en-US" w:bidi="ar-SA"/>
        </w:rPr>
        <w:t>1</w:t>
      </w:r>
      <w:r>
        <w:rPr>
          <w:rFonts w:eastAsia="Arial" w:cs="Arial" w:ascii="Times New Roman" w:hAnsi="Times New Roman"/>
          <w:color w:val="000000"/>
          <w:sz w:val="26"/>
          <w:szCs w:val="26"/>
        </w:rPr>
        <w:t xml:space="preserve">% a </w:t>
      </w:r>
      <w:r>
        <w:rPr>
          <w:rFonts w:eastAsia="Arial" w:cs="Arial" w:ascii="Times New Roman" w:hAnsi="Times New Roman"/>
          <w:color w:val="000000"/>
          <w:kern w:val="0"/>
          <w:sz w:val="26"/>
          <w:szCs w:val="26"/>
          <w:lang w:val="pt-BR" w:eastAsia="en-US" w:bidi="ar-SA"/>
        </w:rPr>
        <w:t>20</w:t>
      </w:r>
      <w:r>
        <w:rPr>
          <w:rFonts w:eastAsia="Arial" w:cs="Arial" w:ascii="Times New Roman" w:hAnsi="Times New Roman"/>
          <w:color w:val="000000"/>
          <w:sz w:val="26"/>
          <w:szCs w:val="26"/>
        </w:rPr>
        <w:t>% do valor do Contrato, ressalvadas as seguintes infrações:</w:t>
      </w:r>
    </w:p>
    <w:p>
      <w:pPr>
        <w:pStyle w:val="Normal"/>
        <w:numPr>
          <w:ilvl w:val="0"/>
          <w:numId w:val="7"/>
        </w:numPr>
        <w:suppressAutoHyphens w:val="true"/>
        <w:spacing w:lineRule="auto" w:line="276" w:before="0" w:after="170"/>
        <w:ind w:left="0" w:right="0" w:hanging="0"/>
        <w:jc w:val="both"/>
        <w:rPr>
          <w:b/>
          <w:b/>
          <w:bCs/>
          <w:i w:val="false"/>
          <w:i w:val="false"/>
          <w:iCs w:val="false"/>
          <w:color w:val="000000"/>
        </w:rPr>
      </w:pPr>
      <w:r>
        <w:rPr>
          <w:rFonts w:eastAsia="Arial" w:cs="Arial" w:ascii="Times New Roman" w:hAnsi="Times New Roman"/>
          <w:b/>
          <w:bCs/>
          <w:i w:val="false"/>
          <w:iCs w:val="false"/>
          <w:color w:val="000000"/>
          <w:sz w:val="26"/>
          <w:szCs w:val="26"/>
        </w:rPr>
        <w:t>INDICAR ITENS ESPECÍFICOS DE INEXECUÇÃO PARCIAL QUE JUSTIFIQUEM PENA DIVERSA</w:t>
      </w:r>
    </w:p>
    <w:p>
      <w:pPr>
        <w:pStyle w:val="Nivel2"/>
        <w:numPr>
          <w:ilvl w:val="1"/>
          <w:numId w:val="7"/>
        </w:numPr>
        <w:spacing w:lineRule="auto" w:line="276" w:before="0" w:after="170"/>
        <w:ind w:left="0" w:right="0" w:hanging="0"/>
        <w:rPr/>
      </w:pPr>
      <w:r>
        <w:rPr>
          <w:rFonts w:ascii="Times New Roman" w:hAnsi="Times New Roman"/>
          <w:color w:val="000000"/>
          <w:sz w:val="26"/>
          <w:szCs w:val="26"/>
        </w:rPr>
        <w:t>A aplicação das sanções previstas neste Contrato não exclui, em hipótese alguma, a obrigação de reparação integral do dano causado ao Contratante (</w:t>
      </w:r>
      <w:r>
        <w:fldChar w:fldCharType="begin"/>
      </w:r>
      <w:r>
        <w:rPr>
          <w:rStyle w:val="LinkdaInternet"/>
          <w:sz w:val="26"/>
          <w:szCs w:val="26"/>
          <w:rFonts w:ascii="Times New Roman" w:hAnsi="Times New Roman"/>
          <w:color w:val="000000"/>
        </w:rPr>
        <w:instrText> HYPERLINK "http://www.planalto.gov.br/ccivil_03/_ato2019-2022/2021/lei/L14133.htm" \l "art156§9"</w:instrText>
      </w:r>
      <w:r>
        <w:rPr>
          <w:rStyle w:val="LinkdaInternet"/>
          <w:sz w:val="26"/>
          <w:szCs w:val="26"/>
          <w:rFonts w:ascii="Times New Roman" w:hAnsi="Times New Roman"/>
          <w:color w:val="000000"/>
        </w:rPr>
        <w:fldChar w:fldCharType="separate"/>
      </w:r>
      <w:r>
        <w:rPr>
          <w:rStyle w:val="LinkdaInternet"/>
          <w:rFonts w:ascii="Times New Roman" w:hAnsi="Times New Roman"/>
          <w:color w:val="000000"/>
          <w:sz w:val="26"/>
          <w:szCs w:val="26"/>
        </w:rPr>
        <w:t>art. 156, §9º, da Lei nº 14.133, de 2021</w:t>
      </w:r>
      <w:r>
        <w:rPr>
          <w:rStyle w:val="LinkdaInternet"/>
          <w:sz w:val="26"/>
          <w:szCs w:val="26"/>
          <w:rFonts w:ascii="Times New Roman" w:hAnsi="Times New Roman"/>
          <w:color w:val="000000"/>
        </w:rPr>
        <w:fldChar w:fldCharType="end"/>
      </w:r>
      <w:r>
        <w:rPr>
          <w:rFonts w:ascii="Times New Roman" w:hAnsi="Times New Roman"/>
          <w:color w:val="000000"/>
          <w:sz w:val="26"/>
          <w:szCs w:val="26"/>
        </w:rPr>
        <w:t>)</w:t>
      </w:r>
    </w:p>
    <w:p>
      <w:pPr>
        <w:pStyle w:val="Nivel2"/>
        <w:numPr>
          <w:ilvl w:val="1"/>
          <w:numId w:val="7"/>
        </w:numPr>
        <w:spacing w:lineRule="auto" w:line="276" w:before="0" w:after="170"/>
        <w:ind w:left="0" w:right="0" w:hanging="0"/>
        <w:rPr/>
      </w:pPr>
      <w:r>
        <w:rPr>
          <w:rFonts w:ascii="Times New Roman" w:hAnsi="Times New Roman"/>
          <w:color w:val="000000"/>
          <w:sz w:val="26"/>
          <w:szCs w:val="26"/>
        </w:rPr>
        <w:t>Todas as sanções previstas neste Contrato poderão ser aplicadas cumulativamente com a multa (</w:t>
      </w:r>
      <w:r>
        <w:fldChar w:fldCharType="begin"/>
      </w:r>
      <w:r>
        <w:rPr>
          <w:rStyle w:val="LinkdaInternet"/>
          <w:sz w:val="26"/>
          <w:szCs w:val="26"/>
          <w:rFonts w:ascii="Times New Roman" w:hAnsi="Times New Roman"/>
          <w:color w:val="000000"/>
        </w:rPr>
        <w:instrText> HYPERLINK "http://www.planalto.gov.br/ccivil_03/_ato2019-2022/2021/lei/L14133.htm" \l "art156§7"</w:instrText>
      </w:r>
      <w:r>
        <w:rPr>
          <w:rStyle w:val="LinkdaInternet"/>
          <w:sz w:val="26"/>
          <w:szCs w:val="26"/>
          <w:rFonts w:ascii="Times New Roman" w:hAnsi="Times New Roman"/>
          <w:color w:val="000000"/>
        </w:rPr>
        <w:fldChar w:fldCharType="separate"/>
      </w:r>
      <w:r>
        <w:rPr>
          <w:rStyle w:val="LinkdaInternet"/>
          <w:rFonts w:ascii="Times New Roman" w:hAnsi="Times New Roman"/>
          <w:color w:val="000000"/>
          <w:sz w:val="26"/>
          <w:szCs w:val="26"/>
        </w:rPr>
        <w:t>art. 156, §7º, da Lei nº 14.133, de 2021</w:t>
      </w:r>
      <w:r>
        <w:rPr>
          <w:rStyle w:val="LinkdaInternet"/>
          <w:sz w:val="26"/>
          <w:szCs w:val="26"/>
          <w:rFonts w:ascii="Times New Roman" w:hAnsi="Times New Roman"/>
          <w:color w:val="000000"/>
        </w:rPr>
        <w:fldChar w:fldCharType="end"/>
      </w:r>
      <w:r>
        <w:rPr>
          <w:rFonts w:ascii="Times New Roman" w:hAnsi="Times New Roman"/>
          <w:color w:val="000000"/>
          <w:sz w:val="26"/>
          <w:szCs w:val="26"/>
        </w:rPr>
        <w:t>).</w:t>
      </w:r>
    </w:p>
    <w:p>
      <w:pPr>
        <w:pStyle w:val="Nivel3"/>
        <w:numPr>
          <w:ilvl w:val="2"/>
          <w:numId w:val="7"/>
        </w:numPr>
        <w:spacing w:lineRule="auto" w:line="276" w:before="0" w:after="170"/>
        <w:ind w:left="0" w:right="0" w:hanging="0"/>
        <w:rPr/>
      </w:pPr>
      <w:r>
        <w:rPr>
          <w:rFonts w:ascii="Times New Roman" w:hAnsi="Times New Roman"/>
          <w:color w:val="000000"/>
          <w:sz w:val="26"/>
          <w:szCs w:val="26"/>
        </w:rPr>
        <w:t>Antes da aplicação da multa será facultada a defesa do interessado no prazo de 15 (quinze) dias úteis, contado da data de sua intimação (</w:t>
      </w:r>
      <w:r>
        <w:fldChar w:fldCharType="begin"/>
      </w:r>
      <w:r>
        <w:rPr>
          <w:rStyle w:val="LinkdaInternet"/>
          <w:sz w:val="26"/>
          <w:szCs w:val="26"/>
          <w:rFonts w:ascii="Times New Roman" w:hAnsi="Times New Roman"/>
          <w:color w:val="000000"/>
        </w:rPr>
        <w:instrText> HYPERLINK "http://www.planalto.gov.br/ccivil_03/_ato2019-2022/2021/lei/L14133.htm" \l "art157"</w:instrText>
      </w:r>
      <w:r>
        <w:rPr>
          <w:rStyle w:val="LinkdaInternet"/>
          <w:sz w:val="26"/>
          <w:szCs w:val="26"/>
          <w:rFonts w:ascii="Times New Roman" w:hAnsi="Times New Roman"/>
          <w:color w:val="000000"/>
        </w:rPr>
        <w:fldChar w:fldCharType="separate"/>
      </w:r>
      <w:r>
        <w:rPr>
          <w:rStyle w:val="LinkdaInternet"/>
          <w:rFonts w:ascii="Times New Roman" w:hAnsi="Times New Roman"/>
          <w:color w:val="000000"/>
          <w:sz w:val="26"/>
          <w:szCs w:val="26"/>
        </w:rPr>
        <w:t>art. 157, da Lei nº 14.133, de 2021</w:t>
      </w:r>
      <w:r>
        <w:rPr>
          <w:rStyle w:val="LinkdaInternet"/>
          <w:sz w:val="26"/>
          <w:szCs w:val="26"/>
          <w:rFonts w:ascii="Times New Roman" w:hAnsi="Times New Roman"/>
          <w:color w:val="000000"/>
        </w:rPr>
        <w:fldChar w:fldCharType="end"/>
      </w:r>
      <w:r>
        <w:rPr>
          <w:rFonts w:ascii="Times New Roman" w:hAnsi="Times New Roman"/>
          <w:color w:val="000000"/>
          <w:sz w:val="26"/>
          <w:szCs w:val="26"/>
        </w:rPr>
        <w:t>)</w:t>
      </w:r>
    </w:p>
    <w:p>
      <w:pPr>
        <w:pStyle w:val="Nivel3"/>
        <w:numPr>
          <w:ilvl w:val="2"/>
          <w:numId w:val="7"/>
        </w:numPr>
        <w:spacing w:lineRule="auto" w:line="276" w:before="0" w:after="170"/>
        <w:ind w:left="0" w:right="0" w:hanging="0"/>
        <w:rPr/>
      </w:pPr>
      <w:r>
        <w:rPr>
          <w:rFonts w:ascii="Times New Roman" w:hAnsi="Times New Roman"/>
          <w:color w:val="000000"/>
          <w:sz w:val="26"/>
          <w:szCs w:val="26"/>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sz w:val="26"/>
          <w:szCs w:val="26"/>
          <w:rFonts w:ascii="Times New Roman" w:hAnsi="Times New Roman"/>
          <w:color w:val="000000"/>
        </w:rPr>
        <w:instrText> HYPERLINK "http://www.planalto.gov.br/ccivil_03/_ato2019-2022/2021/lei/L14133.htm" \l "art156§8"</w:instrText>
      </w:r>
      <w:r>
        <w:rPr>
          <w:rStyle w:val="LinkdaInternet"/>
          <w:sz w:val="26"/>
          <w:szCs w:val="26"/>
          <w:rFonts w:ascii="Times New Roman" w:hAnsi="Times New Roman"/>
          <w:color w:val="000000"/>
        </w:rPr>
        <w:fldChar w:fldCharType="separate"/>
      </w:r>
      <w:r>
        <w:rPr>
          <w:rStyle w:val="LinkdaInternet"/>
          <w:rFonts w:ascii="Times New Roman" w:hAnsi="Times New Roman"/>
          <w:color w:val="000000"/>
          <w:sz w:val="26"/>
          <w:szCs w:val="26"/>
        </w:rPr>
        <w:t>art. 156, §8º, da Lei nº 14.133, de 2021</w:t>
      </w:r>
      <w:r>
        <w:rPr>
          <w:rStyle w:val="LinkdaInternet"/>
          <w:sz w:val="26"/>
          <w:szCs w:val="26"/>
          <w:rFonts w:ascii="Times New Roman" w:hAnsi="Times New Roman"/>
          <w:color w:val="000000"/>
        </w:rPr>
        <w:fldChar w:fldCharType="end"/>
      </w:r>
      <w:r>
        <w:rPr>
          <w:rFonts w:ascii="Times New Roman" w:hAnsi="Times New Roman"/>
          <w:color w:val="000000"/>
          <w:sz w:val="26"/>
          <w:szCs w:val="26"/>
        </w:rPr>
        <w:t>).</w:t>
      </w:r>
    </w:p>
    <w:p>
      <w:pPr>
        <w:pStyle w:val="Nivel3"/>
        <w:numPr>
          <w:ilvl w:val="2"/>
          <w:numId w:val="7"/>
        </w:numPr>
        <w:spacing w:lineRule="auto" w:line="276" w:before="0" w:after="170"/>
        <w:ind w:left="0" w:right="0" w:hanging="0"/>
        <w:rPr>
          <w:color w:val="000000"/>
        </w:rPr>
      </w:pPr>
      <w:r>
        <w:rPr>
          <w:rFonts w:ascii="Times New Roman" w:hAnsi="Times New Roman"/>
          <w:color w:val="000000"/>
          <w:sz w:val="26"/>
          <w:szCs w:val="26"/>
        </w:rPr>
        <w:t xml:space="preserve">Previamente ao encaminhamento à cobrança judicial, a multa poderá ser recolhida administrativamente no prazo máximo de 30 </w:t>
      </w:r>
      <w:r>
        <w:rPr>
          <w:rFonts w:ascii="Times New Roman" w:hAnsi="Times New Roman"/>
          <w:i/>
          <w:iCs/>
          <w:color w:val="000000"/>
          <w:sz w:val="26"/>
          <w:szCs w:val="26"/>
        </w:rPr>
        <w:t xml:space="preserve"> </w:t>
      </w:r>
      <w:r>
        <w:rPr>
          <w:rFonts w:ascii="Times New Roman" w:hAnsi="Times New Roman"/>
          <w:color w:val="000000"/>
          <w:sz w:val="26"/>
          <w:szCs w:val="26"/>
        </w:rPr>
        <w:t>dias, a contar da data do recebimento da comunicação enviada pela autoridade competente.</w:t>
      </w:r>
      <w:bookmarkStart w:id="4" w:name="_Hlk78351618"/>
      <w:bookmarkEnd w:id="4"/>
    </w:p>
    <w:p>
      <w:pPr>
        <w:pStyle w:val="Nivel2"/>
        <w:numPr>
          <w:ilvl w:val="1"/>
          <w:numId w:val="7"/>
        </w:numPr>
        <w:spacing w:lineRule="auto" w:line="276" w:before="0" w:after="170"/>
        <w:ind w:left="0" w:right="0" w:hanging="0"/>
        <w:rPr/>
      </w:pPr>
      <w:r>
        <w:rPr>
          <w:rFonts w:ascii="Times New Roman" w:hAnsi="Times New Roman"/>
          <w:color w:val="000000"/>
          <w:sz w:val="26"/>
          <w:szCs w:val="26"/>
        </w:rPr>
        <w:t xml:space="preserve">A aplicação das sanções realizar-se-á em processo administrativo que assegure o contraditório e a ampla defesa ao Contratado, observando-se o procedimento previsto no </w:t>
      </w:r>
      <w:r>
        <w:rPr>
          <w:rFonts w:ascii="Times New Roman" w:hAnsi="Times New Roman"/>
          <w:b/>
          <w:bCs/>
          <w:color w:val="000000"/>
          <w:sz w:val="26"/>
          <w:szCs w:val="26"/>
        </w:rPr>
        <w:t xml:space="preserve">caput </w:t>
      </w:r>
      <w:r>
        <w:rPr>
          <w:rFonts w:ascii="Times New Roman" w:hAnsi="Times New Roman"/>
          <w:color w:val="000000"/>
          <w:sz w:val="26"/>
          <w:szCs w:val="26"/>
        </w:rPr>
        <w:t xml:space="preserve">e parágrafos do </w:t>
      </w:r>
      <w:r>
        <w:fldChar w:fldCharType="begin"/>
      </w:r>
      <w:r>
        <w:rPr>
          <w:rStyle w:val="LinkdaInternet"/>
          <w:sz w:val="26"/>
          <w:szCs w:val="26"/>
          <w:rFonts w:ascii="Times New Roman" w:hAnsi="Times New Roman"/>
          <w:color w:val="000000"/>
        </w:rPr>
        <w:instrText> HYPERLINK "http://www.planalto.gov.br/ccivil_03/_ato2019-2022/2021/lei/L14133.htm" \l "art158"</w:instrText>
      </w:r>
      <w:r>
        <w:rPr>
          <w:rStyle w:val="LinkdaInternet"/>
          <w:sz w:val="26"/>
          <w:szCs w:val="26"/>
          <w:rFonts w:ascii="Times New Roman" w:hAnsi="Times New Roman"/>
          <w:color w:val="000000"/>
        </w:rPr>
        <w:fldChar w:fldCharType="separate"/>
      </w:r>
      <w:r>
        <w:rPr>
          <w:rStyle w:val="LinkdaInternet"/>
          <w:rFonts w:ascii="Times New Roman" w:hAnsi="Times New Roman"/>
          <w:color w:val="000000"/>
          <w:sz w:val="26"/>
          <w:szCs w:val="26"/>
        </w:rPr>
        <w:t>art. 158 da Lei nº 14.133, de 2021</w:t>
      </w:r>
      <w:r>
        <w:rPr>
          <w:rStyle w:val="LinkdaInternet"/>
          <w:sz w:val="26"/>
          <w:szCs w:val="26"/>
          <w:rFonts w:ascii="Times New Roman" w:hAnsi="Times New Roman"/>
          <w:color w:val="000000"/>
        </w:rPr>
        <w:fldChar w:fldCharType="end"/>
      </w:r>
      <w:r>
        <w:rPr>
          <w:rFonts w:ascii="Times New Roman" w:hAnsi="Times New Roman"/>
          <w:color w:val="000000"/>
          <w:sz w:val="26"/>
          <w:szCs w:val="26"/>
        </w:rPr>
        <w:t>, para as penalidades de impedimento de licitar e contratar e de declaração de inidoneidade para licitar ou contratar.</w:t>
      </w:r>
    </w:p>
    <w:p>
      <w:pPr>
        <w:pStyle w:val="Nivel2"/>
        <w:numPr>
          <w:ilvl w:val="1"/>
          <w:numId w:val="7"/>
        </w:numPr>
        <w:spacing w:lineRule="auto" w:line="276" w:before="0" w:after="170"/>
        <w:ind w:left="0" w:right="0" w:hanging="0"/>
        <w:rPr/>
      </w:pPr>
      <w:r>
        <w:rPr>
          <w:rFonts w:ascii="Times New Roman" w:hAnsi="Times New Roman"/>
          <w:color w:val="000000"/>
          <w:sz w:val="26"/>
          <w:szCs w:val="26"/>
        </w:rPr>
        <w:t>Na aplicação das sanções serão considerados (</w:t>
      </w:r>
      <w:r>
        <w:fldChar w:fldCharType="begin"/>
      </w:r>
      <w:r>
        <w:rPr>
          <w:rStyle w:val="LinkdaInternet"/>
          <w:sz w:val="26"/>
          <w:szCs w:val="26"/>
          <w:rFonts w:ascii="Times New Roman" w:hAnsi="Times New Roman"/>
          <w:color w:val="000000"/>
        </w:rPr>
        <w:instrText> HYPERLINK "http://www.planalto.gov.br/ccivil_03/_ato2019-2022/2021/lei/L14133.htm" \l "art156§1"</w:instrText>
      </w:r>
      <w:r>
        <w:rPr>
          <w:rStyle w:val="LinkdaInternet"/>
          <w:sz w:val="26"/>
          <w:szCs w:val="26"/>
          <w:rFonts w:ascii="Times New Roman" w:hAnsi="Times New Roman"/>
          <w:color w:val="000000"/>
        </w:rPr>
        <w:fldChar w:fldCharType="separate"/>
      </w:r>
      <w:r>
        <w:rPr>
          <w:rStyle w:val="LinkdaInternet"/>
          <w:rFonts w:ascii="Times New Roman" w:hAnsi="Times New Roman"/>
          <w:color w:val="000000"/>
          <w:sz w:val="26"/>
          <w:szCs w:val="26"/>
        </w:rPr>
        <w:t>art. 156, §1º, da Lei nº 14.133, de 2021</w:t>
      </w:r>
      <w:r>
        <w:rPr>
          <w:rStyle w:val="LinkdaInternet"/>
          <w:sz w:val="26"/>
          <w:szCs w:val="26"/>
          <w:rFonts w:ascii="Times New Roman" w:hAnsi="Times New Roman"/>
          <w:color w:val="000000"/>
        </w:rPr>
        <w:fldChar w:fldCharType="end"/>
      </w:r>
      <w:r>
        <w:rPr>
          <w:rFonts w:ascii="Times New Roman" w:hAnsi="Times New Roman"/>
          <w:color w:val="000000"/>
          <w:sz w:val="26"/>
          <w:szCs w:val="26"/>
        </w:rPr>
        <w:t>):</w:t>
      </w:r>
    </w:p>
    <w:p>
      <w:pPr>
        <w:pStyle w:val="Nivel2"/>
        <w:numPr>
          <w:ilvl w:val="1"/>
          <w:numId w:val="7"/>
        </w:numPr>
        <w:spacing w:lineRule="auto" w:line="276" w:before="0" w:after="170"/>
        <w:ind w:left="0" w:right="0" w:hanging="0"/>
        <w:rPr>
          <w:color w:val="000000"/>
        </w:rPr>
      </w:pPr>
      <w:r>
        <w:rPr>
          <w:rFonts w:eastAsia="Arial" w:cs="Arial" w:ascii="Times New Roman" w:hAnsi="Times New Roman"/>
          <w:color w:val="000000"/>
          <w:sz w:val="26"/>
          <w:szCs w:val="26"/>
        </w:rPr>
        <w:t>a natureza e a gravidade da infração cometida;</w:t>
      </w:r>
    </w:p>
    <w:p>
      <w:pPr>
        <w:pStyle w:val="Nivel2"/>
        <w:numPr>
          <w:ilvl w:val="1"/>
          <w:numId w:val="7"/>
        </w:numPr>
        <w:spacing w:lineRule="auto" w:line="276" w:before="0" w:after="170"/>
        <w:ind w:left="0" w:right="0" w:hanging="0"/>
        <w:rPr>
          <w:color w:val="000000"/>
        </w:rPr>
      </w:pPr>
      <w:r>
        <w:rPr>
          <w:rFonts w:eastAsia="Arial" w:cs="Arial" w:ascii="Times New Roman" w:hAnsi="Times New Roman"/>
          <w:color w:val="000000"/>
          <w:sz w:val="26"/>
          <w:szCs w:val="26"/>
        </w:rPr>
        <w:t>as peculiaridades do caso concreto;</w:t>
      </w:r>
    </w:p>
    <w:p>
      <w:pPr>
        <w:pStyle w:val="Nivel2"/>
        <w:numPr>
          <w:ilvl w:val="1"/>
          <w:numId w:val="7"/>
        </w:numPr>
        <w:spacing w:lineRule="auto" w:line="276" w:before="0" w:after="170"/>
        <w:ind w:left="0" w:right="0" w:hanging="0"/>
        <w:rPr>
          <w:color w:val="000000"/>
        </w:rPr>
      </w:pPr>
      <w:r>
        <w:rPr>
          <w:rFonts w:eastAsia="Arial" w:cs="Arial" w:ascii="Times New Roman" w:hAnsi="Times New Roman"/>
          <w:color w:val="000000"/>
          <w:sz w:val="26"/>
          <w:szCs w:val="26"/>
        </w:rPr>
        <w:t>as circunstâncias agravantes ou atenuantes;</w:t>
      </w:r>
    </w:p>
    <w:p>
      <w:pPr>
        <w:pStyle w:val="Nivel2"/>
        <w:numPr>
          <w:ilvl w:val="1"/>
          <w:numId w:val="7"/>
        </w:numPr>
        <w:spacing w:lineRule="auto" w:line="276" w:before="0" w:after="170"/>
        <w:ind w:left="0" w:right="0" w:hanging="0"/>
        <w:rPr>
          <w:color w:val="000000"/>
        </w:rPr>
      </w:pPr>
      <w:r>
        <w:rPr>
          <w:rFonts w:eastAsia="Arial" w:cs="Arial" w:ascii="Times New Roman" w:hAnsi="Times New Roman"/>
          <w:color w:val="000000"/>
          <w:sz w:val="26"/>
          <w:szCs w:val="26"/>
        </w:rPr>
        <w:t>os danos que dela provierem para o Contratante;</w:t>
      </w:r>
    </w:p>
    <w:p>
      <w:pPr>
        <w:pStyle w:val="Normal"/>
        <w:numPr>
          <w:ilvl w:val="1"/>
          <w:numId w:val="7"/>
        </w:numPr>
        <w:suppressAutoHyphens w:val="true"/>
        <w:spacing w:lineRule="auto" w:line="276" w:before="0" w:after="170"/>
        <w:ind w:left="0" w:right="0" w:hanging="0"/>
        <w:jc w:val="both"/>
        <w:rPr>
          <w:color w:val="000000"/>
        </w:rPr>
      </w:pPr>
      <w:r>
        <w:rPr>
          <w:rFonts w:eastAsia="Arial" w:cs="Arial" w:ascii="Times New Roman" w:hAnsi="Times New Roman"/>
          <w:color w:val="000000"/>
          <w:sz w:val="26"/>
          <w:szCs w:val="26"/>
        </w:rPr>
        <w:t>a implantação ou o aperfeiçoamento de programa de integridade, conforme normas e orientações dos órgãos de controle.</w:t>
      </w:r>
    </w:p>
    <w:p>
      <w:pPr>
        <w:pStyle w:val="Nivel2"/>
        <w:numPr>
          <w:ilvl w:val="1"/>
          <w:numId w:val="7"/>
        </w:numPr>
        <w:spacing w:lineRule="auto" w:line="276" w:before="0" w:after="170"/>
        <w:ind w:left="0" w:right="0" w:hanging="0"/>
        <w:rPr/>
      </w:pPr>
      <w:r>
        <w:rPr>
          <w:rFonts w:ascii="Times New Roman" w:hAnsi="Times New Roman"/>
          <w:color w:val="000000"/>
          <w:sz w:val="26"/>
          <w:szCs w:val="26"/>
        </w:rPr>
        <w:t xml:space="preserve">Os atos previstos como infrações administrativas na </w:t>
      </w:r>
      <w:hyperlink r:id="rId14">
        <w:r>
          <w:rPr>
            <w:rStyle w:val="LinkdaInternet"/>
            <w:rFonts w:ascii="Times New Roman" w:hAnsi="Times New Roman"/>
            <w:color w:val="000000"/>
            <w:sz w:val="26"/>
            <w:szCs w:val="26"/>
          </w:rPr>
          <w:t>Lei nº 14.133, de 2021</w:t>
        </w:r>
      </w:hyperlink>
      <w:r>
        <w:rPr>
          <w:rFonts w:ascii="Times New Roman" w:hAnsi="Times New Roman"/>
          <w:color w:val="000000"/>
          <w:sz w:val="26"/>
          <w:szCs w:val="26"/>
        </w:rPr>
        <w:t xml:space="preserve">, ou em outras leis de licitações e contratos da Administração Pública que também sejam tipificados como atos lesivos </w:t>
      </w:r>
      <w:hyperlink r:id="rId15">
        <w:r>
          <w:rPr>
            <w:rStyle w:val="LinkdaInternet"/>
            <w:rFonts w:ascii="Times New Roman" w:hAnsi="Times New Roman"/>
            <w:color w:val="000000"/>
            <w:sz w:val="26"/>
            <w:szCs w:val="26"/>
          </w:rPr>
          <w:t>na Lei nº 12.846, de 2013</w:t>
        </w:r>
      </w:hyperlink>
      <w:r>
        <w:rPr>
          <w:rFonts w:ascii="Times New Roman" w:hAnsi="Times New Roman"/>
          <w:color w:val="000000"/>
          <w:sz w:val="26"/>
          <w:szCs w:val="26"/>
        </w:rPr>
        <w:t xml:space="preserve">, serão apurados e julgados conjuntamente, nos mesmos autos, observados o rito procedimental e autoridade competente definidos na referida </w:t>
      </w:r>
      <w:r>
        <w:fldChar w:fldCharType="begin"/>
      </w:r>
      <w:r>
        <w:rPr>
          <w:rStyle w:val="LinkdaInternet"/>
          <w:sz w:val="26"/>
          <w:szCs w:val="26"/>
          <w:rFonts w:ascii="Times New Roman" w:hAnsi="Times New Roman"/>
          <w:color w:val="000000"/>
        </w:rPr>
        <w:instrText> HYPERLINK "http://www.planalto.gov.br/ccivil_03/_ato2019-2022/2021/lei/L14133.htm" \l "art159"</w:instrText>
      </w:r>
      <w:r>
        <w:rPr>
          <w:rStyle w:val="LinkdaInternet"/>
          <w:sz w:val="26"/>
          <w:szCs w:val="26"/>
          <w:rFonts w:ascii="Times New Roman" w:hAnsi="Times New Roman"/>
          <w:color w:val="000000"/>
        </w:rPr>
        <w:fldChar w:fldCharType="separate"/>
      </w:r>
      <w:r>
        <w:rPr>
          <w:rStyle w:val="LinkdaInternet"/>
          <w:rFonts w:ascii="Times New Roman" w:hAnsi="Times New Roman"/>
          <w:color w:val="000000"/>
          <w:sz w:val="26"/>
          <w:szCs w:val="26"/>
        </w:rPr>
        <w:t>Lei (art. 159</w:t>
      </w:r>
      <w:r>
        <w:rPr>
          <w:rStyle w:val="LinkdaInternet"/>
          <w:sz w:val="26"/>
          <w:szCs w:val="26"/>
          <w:rFonts w:ascii="Times New Roman" w:hAnsi="Times New Roman"/>
          <w:color w:val="000000"/>
        </w:rPr>
        <w:fldChar w:fldCharType="end"/>
      </w:r>
      <w:r>
        <w:rPr>
          <w:rFonts w:ascii="Times New Roman" w:hAnsi="Times New Roman"/>
          <w:color w:val="000000"/>
          <w:sz w:val="26"/>
          <w:szCs w:val="26"/>
        </w:rPr>
        <w:t>).</w:t>
      </w:r>
    </w:p>
    <w:p>
      <w:pPr>
        <w:pStyle w:val="Nivel2"/>
        <w:numPr>
          <w:ilvl w:val="1"/>
          <w:numId w:val="7"/>
        </w:numPr>
        <w:spacing w:lineRule="auto" w:line="276" w:before="0" w:after="170"/>
        <w:ind w:left="0" w:right="0" w:hanging="0"/>
        <w:rPr/>
      </w:pPr>
      <w:r>
        <w:rPr>
          <w:rFonts w:ascii="Times New Roman" w:hAnsi="Times New Roman"/>
          <w:color w:val="000000"/>
          <w:sz w:val="26"/>
          <w:szCs w:val="26"/>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sz w:val="26"/>
          <w:szCs w:val="26"/>
          <w:rFonts w:ascii="Times New Roman" w:hAnsi="Times New Roman"/>
          <w:color w:val="000000"/>
        </w:rPr>
        <w:instrText> HYPERLINK "http://www.planalto.gov.br/ccivil_03/_ato2019-2022/2021/lei/L14133.htm" \l "art160"</w:instrText>
      </w:r>
      <w:r>
        <w:rPr>
          <w:rStyle w:val="LinkdaInternet"/>
          <w:sz w:val="26"/>
          <w:szCs w:val="26"/>
          <w:rFonts w:ascii="Times New Roman" w:hAnsi="Times New Roman"/>
          <w:color w:val="000000"/>
        </w:rPr>
        <w:fldChar w:fldCharType="separate"/>
      </w:r>
      <w:r>
        <w:rPr>
          <w:rStyle w:val="LinkdaInternet"/>
          <w:rFonts w:ascii="Times New Roman" w:hAnsi="Times New Roman"/>
          <w:color w:val="000000"/>
          <w:sz w:val="26"/>
          <w:szCs w:val="26"/>
        </w:rPr>
        <w:t>art. 160, da Lei nº 14.133, de 2021</w:t>
      </w:r>
      <w:r>
        <w:rPr>
          <w:rStyle w:val="LinkdaInternet"/>
          <w:sz w:val="26"/>
          <w:szCs w:val="26"/>
          <w:rFonts w:ascii="Times New Roman" w:hAnsi="Times New Roman"/>
          <w:color w:val="000000"/>
        </w:rPr>
        <w:fldChar w:fldCharType="end"/>
      </w:r>
      <w:r>
        <w:rPr>
          <w:rFonts w:ascii="Times New Roman" w:hAnsi="Times New Roman"/>
          <w:color w:val="000000"/>
          <w:sz w:val="26"/>
          <w:szCs w:val="26"/>
        </w:rPr>
        <w:t>)</w:t>
      </w:r>
    </w:p>
    <w:p>
      <w:pPr>
        <w:pStyle w:val="Nivel2"/>
        <w:numPr>
          <w:ilvl w:val="1"/>
          <w:numId w:val="7"/>
        </w:numPr>
        <w:spacing w:lineRule="auto" w:line="276" w:before="0" w:after="170"/>
        <w:ind w:left="0" w:right="0" w:hanging="0"/>
        <w:rPr/>
      </w:pPr>
      <w:r>
        <w:rPr>
          <w:rFonts w:ascii="Times New Roman" w:hAnsi="Times New Roman"/>
          <w:color w:val="000000"/>
          <w:sz w:val="26"/>
          <w:szCs w:val="26"/>
        </w:rPr>
        <w:t xml:space="preserve"> </w:t>
      </w:r>
      <w:r>
        <w:rPr>
          <w:rFonts w:ascii="Times New Roman" w:hAnsi="Times New Roman"/>
          <w:color w:val="000000"/>
          <w:sz w:val="26"/>
          <w:szCs w:val="26"/>
        </w:rPr>
        <w:t xml:space="preserve">O Contratante deverá, no prazo máximo de 15 (quinze) dias úteis, contado da data de aplicação da sanção, informar e manter atualizados os dados relativos às sanções por ela aplicadas, para fins de publicidade no </w:t>
      </w:r>
      <w:hyperlink r:id="rId16">
        <w:r>
          <w:rPr>
            <w:rStyle w:val="LinkdaInternet"/>
            <w:rFonts w:ascii="Times New Roman" w:hAnsi="Times New Roman"/>
            <w:color w:val="000000"/>
            <w:sz w:val="26"/>
            <w:szCs w:val="26"/>
          </w:rPr>
          <w:t>Cadastro Nacional de Empresas Inidôneas e Suspensas (Ceis)</w:t>
        </w:r>
      </w:hyperlink>
      <w:r>
        <w:rPr>
          <w:rFonts w:ascii="Times New Roman" w:hAnsi="Times New Roman"/>
          <w:color w:val="000000"/>
          <w:sz w:val="26"/>
          <w:szCs w:val="26"/>
        </w:rPr>
        <w:t xml:space="preserve"> e no Cadastro Nacional de Empresas Punidas (Cnep), instituídos no âmbito do Poder Executivo Federal. (</w:t>
      </w:r>
      <w:r>
        <w:fldChar w:fldCharType="begin"/>
      </w:r>
      <w:r>
        <w:rPr>
          <w:rStyle w:val="LinkdaInternet"/>
          <w:sz w:val="26"/>
          <w:szCs w:val="26"/>
          <w:rFonts w:ascii="Times New Roman" w:hAnsi="Times New Roman"/>
          <w:color w:val="000000"/>
        </w:rPr>
        <w:instrText> HYPERLINK "http://www.planalto.gov.br/ccivil_03/_ato2019-2022/2021/lei/L14133.htm" \l "art161"</w:instrText>
      </w:r>
      <w:r>
        <w:rPr>
          <w:rStyle w:val="LinkdaInternet"/>
          <w:sz w:val="26"/>
          <w:szCs w:val="26"/>
          <w:rFonts w:ascii="Times New Roman" w:hAnsi="Times New Roman"/>
          <w:color w:val="000000"/>
        </w:rPr>
        <w:fldChar w:fldCharType="separate"/>
      </w:r>
      <w:r>
        <w:rPr>
          <w:rStyle w:val="LinkdaInternet"/>
          <w:rFonts w:ascii="Times New Roman" w:hAnsi="Times New Roman"/>
          <w:color w:val="000000"/>
          <w:sz w:val="26"/>
          <w:szCs w:val="26"/>
        </w:rPr>
        <w:t>Art. 161, da Lei nº 14.133, de 2021</w:t>
      </w:r>
      <w:r>
        <w:rPr>
          <w:rStyle w:val="LinkdaInternet"/>
          <w:sz w:val="26"/>
          <w:szCs w:val="26"/>
          <w:rFonts w:ascii="Times New Roman" w:hAnsi="Times New Roman"/>
          <w:color w:val="000000"/>
        </w:rPr>
        <w:fldChar w:fldCharType="end"/>
      </w:r>
      <w:r>
        <w:rPr>
          <w:rFonts w:ascii="Times New Roman" w:hAnsi="Times New Roman"/>
          <w:color w:val="000000"/>
          <w:sz w:val="26"/>
          <w:szCs w:val="26"/>
        </w:rPr>
        <w:t>)</w:t>
      </w:r>
    </w:p>
    <w:p>
      <w:pPr>
        <w:pStyle w:val="Nivel2"/>
        <w:numPr>
          <w:ilvl w:val="1"/>
          <w:numId w:val="7"/>
        </w:numPr>
        <w:spacing w:lineRule="auto" w:line="276" w:before="0" w:after="170"/>
        <w:ind w:left="0" w:right="0" w:hanging="0"/>
        <w:rPr/>
      </w:pPr>
      <w:r>
        <w:rPr>
          <w:rFonts w:ascii="Times New Roman" w:hAnsi="Times New Roman"/>
          <w:color w:val="000000"/>
          <w:sz w:val="26"/>
          <w:szCs w:val="26"/>
        </w:rPr>
        <w:t xml:space="preserve">As sanções de impedimento de licitar e contratar e declaração de inidoneidade para licitar ou contratar são passíveis de reabilitação na forma do </w:t>
      </w:r>
      <w:r>
        <w:fldChar w:fldCharType="begin"/>
      </w:r>
      <w:r>
        <w:rPr>
          <w:rStyle w:val="LinkdaInternet"/>
          <w:sz w:val="26"/>
          <w:szCs w:val="26"/>
          <w:rFonts w:ascii="Times New Roman" w:hAnsi="Times New Roman"/>
          <w:color w:val="000000"/>
        </w:rPr>
        <w:instrText> HYPERLINK "http://www.planalto.gov.br/ccivil_03/_ato2019-2022/2021/lei/L14133.htm" \l "art163"</w:instrText>
      </w:r>
      <w:r>
        <w:rPr>
          <w:rStyle w:val="LinkdaInternet"/>
          <w:sz w:val="26"/>
          <w:szCs w:val="26"/>
          <w:rFonts w:ascii="Times New Roman" w:hAnsi="Times New Roman"/>
          <w:color w:val="000000"/>
        </w:rPr>
        <w:fldChar w:fldCharType="separate"/>
      </w:r>
      <w:r>
        <w:rPr>
          <w:rStyle w:val="LinkdaInternet"/>
          <w:rFonts w:ascii="Times New Roman" w:hAnsi="Times New Roman"/>
          <w:color w:val="000000"/>
          <w:sz w:val="26"/>
          <w:szCs w:val="26"/>
        </w:rPr>
        <w:t>art. 163 da Lei nº 14.133/21.</w:t>
      </w:r>
      <w:r>
        <w:rPr>
          <w:rStyle w:val="LinkdaInternet"/>
          <w:sz w:val="26"/>
          <w:szCs w:val="26"/>
          <w:rFonts w:ascii="Times New Roman" w:hAnsi="Times New Roman"/>
          <w:color w:val="000000"/>
        </w:rPr>
        <w:fldChar w:fldCharType="end"/>
      </w:r>
    </w:p>
    <w:p>
      <w:pPr>
        <w:pStyle w:val="Nivel2"/>
        <w:numPr>
          <w:ilvl w:val="1"/>
          <w:numId w:val="7"/>
        </w:numPr>
        <w:tabs>
          <w:tab w:val="clear" w:pos="708"/>
          <w:tab w:val="left" w:pos="851" w:leader="none"/>
        </w:tabs>
        <w:spacing w:lineRule="auto" w:line="276" w:before="0" w:after="170"/>
        <w:ind w:left="0" w:right="0" w:hanging="0"/>
        <w:rPr/>
      </w:pPr>
      <w:r>
        <w:rPr>
          <w:rFonts w:cs="Arial" w:ascii="Times New Roman" w:hAnsi="Times New Roman"/>
          <w:i w:val="false"/>
          <w:iCs w:val="false"/>
          <w:color w:val="000000"/>
          <w:sz w:val="26"/>
          <w:szCs w:val="26"/>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17">
        <w:r>
          <w:rPr>
            <w:rStyle w:val="LinkdaInternet"/>
            <w:rFonts w:cs="Arial" w:ascii="Times New Roman" w:hAnsi="Times New Roman"/>
            <w:i w:val="false"/>
            <w:iCs w:val="false"/>
            <w:color w:val="000000"/>
            <w:sz w:val="26"/>
            <w:szCs w:val="26"/>
          </w:rPr>
          <w:t>Instrução Normativa SEGES/ME nº 26, de 13 de abril de 2022</w:t>
        </w:r>
      </w:hyperlink>
      <w:r>
        <w:rPr>
          <w:rFonts w:cs="Arial" w:ascii="Times New Roman" w:hAnsi="Times New Roman"/>
          <w:i w:val="false"/>
          <w:iCs w:val="false"/>
          <w:color w:val="000000"/>
          <w:sz w:val="26"/>
          <w:szCs w:val="26"/>
        </w:rPr>
        <w:t xml:space="preserve">. </w:t>
      </w:r>
    </w:p>
    <w:p>
      <w:pPr>
        <w:pStyle w:val="Nivel2"/>
        <w:numPr>
          <w:ilvl w:val="0"/>
          <w:numId w:val="7"/>
        </w:numPr>
        <w:tabs>
          <w:tab w:val="clear" w:pos="708"/>
          <w:tab w:val="left" w:pos="851" w:leader="none"/>
        </w:tabs>
        <w:spacing w:lineRule="auto" w:line="276" w:before="0" w:after="170"/>
        <w:ind w:left="0" w:right="0" w:hanging="0"/>
        <w:rPr>
          <w:color w:val="000000"/>
        </w:rPr>
      </w:pPr>
      <w:r>
        <w:rPr>
          <w:rFonts w:cs="Arial" w:ascii="Times New Roman" w:hAnsi="Times New Roman"/>
          <w:i w:val="false"/>
          <w:iCs w:val="false"/>
          <w:color w:val="000000"/>
          <w:sz w:val="26"/>
          <w:szCs w:val="26"/>
        </w:rPr>
        <w:t>CLÁUSULA DÉCIMA SEGUNDA – DA EXTINÇÃO CONTRATUAL (art. 92, XIX)</w:t>
      </w:r>
    </w:p>
    <w:p>
      <w:pPr>
        <w:pStyle w:val="Nvel2Opcional"/>
        <w:numPr>
          <w:ilvl w:val="1"/>
          <w:numId w:val="7"/>
        </w:numPr>
        <w:tabs>
          <w:tab w:val="clear" w:pos="708"/>
          <w:tab w:val="left" w:pos="851" w:leader="none"/>
        </w:tabs>
        <w:spacing w:lineRule="auto" w:line="276" w:before="0" w:after="170"/>
        <w:ind w:left="0" w:right="0" w:hanging="0"/>
        <w:rPr>
          <w:color w:val="000000"/>
        </w:rPr>
      </w:pPr>
      <w:r>
        <w:rPr>
          <w:rFonts w:ascii="Times New Roman" w:hAnsi="Times New Roman"/>
          <w:i w:val="false"/>
          <w:iCs w:val="false"/>
          <w:color w:val="000000"/>
          <w:sz w:val="26"/>
          <w:szCs w:val="26"/>
        </w:rPr>
        <w:t>O contrato se extingue quando cumpridas as obrigações de ambas as partes, ainda que isso ocorra antes do prazo estipulado para tanto.</w:t>
      </w:r>
    </w:p>
    <w:p>
      <w:pPr>
        <w:pStyle w:val="Nvel2Opcional"/>
        <w:numPr>
          <w:ilvl w:val="1"/>
          <w:numId w:val="7"/>
        </w:numPr>
        <w:tabs>
          <w:tab w:val="clear" w:pos="708"/>
          <w:tab w:val="left" w:pos="851" w:leader="none"/>
        </w:tabs>
        <w:spacing w:lineRule="auto" w:line="276" w:before="0" w:after="170"/>
        <w:ind w:left="0" w:right="0" w:hanging="0"/>
        <w:rPr>
          <w:color w:val="000000"/>
        </w:rPr>
      </w:pPr>
      <w:r>
        <w:rPr>
          <w:rFonts w:ascii="Times New Roman" w:hAnsi="Times New Roman"/>
          <w:i w:val="false"/>
          <w:iCs w:val="false"/>
          <w:color w:val="000000"/>
          <w:sz w:val="26"/>
          <w:szCs w:val="26"/>
        </w:rPr>
        <w:t xml:space="preserve">Se as obrigações não forem cumpridas no prazo estipulado, a vigência ficará prorrogada até a conclusão do objeto, caso em que deverá a Administração providenciar </w:t>
      </w:r>
      <w:r>
        <w:rPr>
          <w:rFonts w:ascii="Times New Roman" w:hAnsi="Times New Roman"/>
          <w:i/>
          <w:iCs w:val="false"/>
          <w:color w:val="000000"/>
          <w:sz w:val="26"/>
          <w:szCs w:val="26"/>
        </w:rPr>
        <w:t>a readequação do cronograma fixado para o contrato.</w:t>
      </w:r>
      <w:r>
        <w:rPr>
          <w:rFonts w:ascii="Times New Roman" w:hAnsi="Times New Roman"/>
          <w:i w:val="false"/>
          <w:iCs w:val="false"/>
          <w:color w:val="000000"/>
          <w:sz w:val="26"/>
          <w:szCs w:val="26"/>
        </w:rPr>
        <w:t>.</w:t>
      </w:r>
    </w:p>
    <w:p>
      <w:pPr>
        <w:pStyle w:val="Nvel2Opcional"/>
        <w:numPr>
          <w:ilvl w:val="1"/>
          <w:numId w:val="7"/>
        </w:numPr>
        <w:tabs>
          <w:tab w:val="clear" w:pos="708"/>
          <w:tab w:val="left" w:pos="851" w:leader="none"/>
        </w:tabs>
        <w:spacing w:lineRule="auto" w:line="276" w:before="0" w:after="170"/>
        <w:ind w:left="0" w:right="0" w:hanging="0"/>
        <w:rPr>
          <w:color w:val="000000"/>
        </w:rPr>
      </w:pPr>
      <w:r>
        <w:rPr>
          <w:rFonts w:ascii="Times New Roman" w:hAnsi="Times New Roman"/>
          <w:i w:val="false"/>
          <w:iCs w:val="false"/>
          <w:color w:val="000000"/>
          <w:sz w:val="26"/>
          <w:szCs w:val="26"/>
        </w:rPr>
        <w:t>Quando a não conclusão do contrato referida no item anterior decorrer de culpa do contratado:</w:t>
      </w:r>
    </w:p>
    <w:p>
      <w:pPr>
        <w:pStyle w:val="Nvel2Opcional"/>
        <w:numPr>
          <w:ilvl w:val="1"/>
          <w:numId w:val="7"/>
        </w:numPr>
        <w:tabs>
          <w:tab w:val="clear" w:pos="708"/>
          <w:tab w:val="left" w:pos="851" w:leader="none"/>
        </w:tabs>
        <w:spacing w:lineRule="auto" w:line="276" w:before="0" w:after="170"/>
        <w:ind w:left="0" w:right="0" w:hanging="0"/>
        <w:rPr>
          <w:color w:val="000000"/>
        </w:rPr>
      </w:pPr>
      <w:r>
        <w:rPr>
          <w:rFonts w:cs="Arial" w:ascii="Times New Roman" w:hAnsi="Times New Roman"/>
          <w:i w:val="false"/>
          <w:iCs w:val="false"/>
          <w:color w:val="000000"/>
          <w:sz w:val="26"/>
          <w:szCs w:val="26"/>
        </w:rPr>
        <w:t xml:space="preserve">ficará ele constituído em mora, sendo-lhe aplicáveis as respectivas sanções administrativas; e  </w:t>
      </w:r>
    </w:p>
    <w:p>
      <w:pPr>
        <w:pStyle w:val="Nvel2Opcional"/>
        <w:numPr>
          <w:ilvl w:val="1"/>
          <w:numId w:val="7"/>
        </w:numPr>
        <w:tabs>
          <w:tab w:val="clear" w:pos="708"/>
          <w:tab w:val="left" w:pos="851" w:leader="none"/>
        </w:tabs>
        <w:spacing w:lineRule="auto" w:line="276" w:before="0" w:after="170"/>
        <w:ind w:left="0" w:right="0" w:hanging="0"/>
        <w:rPr>
          <w:color w:val="000000"/>
        </w:rPr>
      </w:pPr>
      <w:r>
        <w:rPr>
          <w:rFonts w:cs="Arial" w:ascii="Times New Roman" w:hAnsi="Times New Roman"/>
          <w:i w:val="false"/>
          <w:iCs w:val="false"/>
          <w:color w:val="000000"/>
          <w:sz w:val="26"/>
          <w:szCs w:val="26"/>
        </w:rPr>
        <w:t>poderá o Contratante optar pela extinção do contrato e, nesse caso, adotará as medidas admitidas em lei para a continuidade da execução contratual.</w:t>
      </w:r>
    </w:p>
    <w:p>
      <w:pPr>
        <w:pStyle w:val="Nvel2Opcional"/>
        <w:numPr>
          <w:ilvl w:val="1"/>
          <w:numId w:val="7"/>
        </w:numPr>
        <w:tabs>
          <w:tab w:val="clear" w:pos="708"/>
          <w:tab w:val="left" w:pos="851" w:leader="none"/>
        </w:tabs>
        <w:spacing w:lineRule="auto" w:line="276" w:before="0" w:after="170"/>
        <w:ind w:left="0" w:right="0" w:hanging="0"/>
        <w:rPr>
          <w:color w:val="000000"/>
        </w:rPr>
      </w:pPr>
      <w:r>
        <w:rPr>
          <w:rFonts w:ascii="Times New Roman" w:hAnsi="Times New Roman"/>
          <w:i w:val="false"/>
          <w:iCs w:val="false"/>
          <w:color w:val="000000"/>
          <w:sz w:val="26"/>
          <w:szCs w:val="26"/>
        </w:rPr>
        <w:t>O contrato pode ser extinto antes de cumpridas as obrigações nele estipuladas, ou antes do prazo nele fixado, por algum dos motivos previstos no artigo 137 da NLLC, bem como amigavelmente, assegurados o contraditório e a ampla defesa.</w:t>
      </w:r>
    </w:p>
    <w:p>
      <w:pPr>
        <w:pStyle w:val="Nvel2Opcional"/>
        <w:numPr>
          <w:ilvl w:val="1"/>
          <w:numId w:val="7"/>
        </w:numPr>
        <w:tabs>
          <w:tab w:val="clear" w:pos="708"/>
          <w:tab w:val="left" w:pos="993" w:leader="none"/>
        </w:tabs>
        <w:spacing w:lineRule="auto" w:line="276" w:before="0" w:after="170"/>
        <w:ind w:left="0" w:right="0" w:hanging="0"/>
        <w:rPr>
          <w:color w:val="000000"/>
        </w:rPr>
      </w:pPr>
      <w:r>
        <w:rPr>
          <w:rFonts w:ascii="Times New Roman" w:hAnsi="Times New Roman"/>
          <w:i w:val="false"/>
          <w:iCs w:val="false"/>
          <w:color w:val="000000"/>
          <w:sz w:val="26"/>
          <w:szCs w:val="26"/>
        </w:rPr>
        <w:t>Nesta hipótese, aplicam-se também os artigos 138 e 139 da mesma Lei.</w:t>
      </w:r>
    </w:p>
    <w:p>
      <w:pPr>
        <w:pStyle w:val="Nivel3"/>
        <w:numPr>
          <w:ilvl w:val="2"/>
          <w:numId w:val="7"/>
        </w:numPr>
        <w:spacing w:lineRule="auto" w:line="276" w:before="0" w:after="170"/>
        <w:ind w:left="0" w:right="0" w:hanging="0"/>
        <w:rPr>
          <w:color w:val="000000"/>
        </w:rPr>
      </w:pPr>
      <w:r>
        <w:rPr>
          <w:rFonts w:ascii="Times New Roman" w:hAnsi="Times New Roman"/>
          <w:color w:val="000000"/>
          <w:sz w:val="26"/>
          <w:szCs w:val="26"/>
        </w:rPr>
        <w:t xml:space="preserve">A </w:t>
      </w:r>
      <w:r>
        <w:rPr>
          <w:rFonts w:ascii="Times New Roman" w:hAnsi="Times New Roman"/>
          <w:color w:val="000000" w:themeColor="text1"/>
          <w:sz w:val="26"/>
          <w:szCs w:val="26"/>
        </w:rPr>
        <w:t>alteração social ou a modificação da finalidade ou da estrutura da empresa</w:t>
      </w:r>
      <w:r>
        <w:rPr>
          <w:rFonts w:ascii="Times New Roman" w:hAnsi="Times New Roman"/>
          <w:color w:val="000000"/>
          <w:sz w:val="26"/>
          <w:szCs w:val="26"/>
        </w:rPr>
        <w:t xml:space="preserve"> não ensejará a extinção se não </w:t>
      </w:r>
      <w:r>
        <w:rPr>
          <w:rFonts w:ascii="Times New Roman" w:hAnsi="Times New Roman"/>
          <w:color w:val="000000" w:themeColor="text1"/>
          <w:sz w:val="26"/>
          <w:szCs w:val="26"/>
        </w:rPr>
        <w:t>restringir sua capacidade de concluir o contrato.</w:t>
      </w:r>
    </w:p>
    <w:p>
      <w:pPr>
        <w:pStyle w:val="Nivel4"/>
        <w:numPr>
          <w:ilvl w:val="3"/>
          <w:numId w:val="7"/>
        </w:numPr>
        <w:spacing w:lineRule="auto" w:line="276" w:before="0" w:after="170"/>
        <w:ind w:left="0" w:right="0" w:hanging="0"/>
        <w:rPr>
          <w:color w:val="000000"/>
        </w:rPr>
      </w:pPr>
      <w:r>
        <w:rPr>
          <w:rFonts w:ascii="Times New Roman" w:hAnsi="Times New Roman"/>
          <w:color w:val="000000" w:themeColor="text1"/>
          <w:sz w:val="26"/>
          <w:szCs w:val="26"/>
        </w:rPr>
        <w:t xml:space="preserve">Se a operação </w:t>
      </w:r>
      <w:r>
        <w:rPr>
          <w:rFonts w:ascii="Times New Roman" w:hAnsi="Times New Roman"/>
          <w:color w:val="000000"/>
          <w:sz w:val="26"/>
          <w:szCs w:val="26"/>
        </w:rPr>
        <w:t>implicar mudança da pessoa jurídica contratada, deverá ser formalizado termo aditivo para alteração subjetiva.</w:t>
      </w:r>
    </w:p>
    <w:p>
      <w:pPr>
        <w:pStyle w:val="Nivel2"/>
        <w:numPr>
          <w:ilvl w:val="1"/>
          <w:numId w:val="7"/>
        </w:numPr>
        <w:spacing w:lineRule="auto" w:line="276" w:before="0" w:after="170"/>
        <w:ind w:left="0" w:right="0" w:hanging="0"/>
        <w:rPr>
          <w:color w:val="000000"/>
        </w:rPr>
      </w:pPr>
      <w:r>
        <w:rPr>
          <w:rFonts w:ascii="Times New Roman" w:hAnsi="Times New Roman"/>
          <w:color w:val="000000"/>
          <w:sz w:val="26"/>
          <w:szCs w:val="26"/>
        </w:rPr>
        <w:t>O termo de extinção, sempre que possível, será precedido:</w:t>
      </w:r>
    </w:p>
    <w:p>
      <w:pPr>
        <w:pStyle w:val="Nivel3"/>
        <w:numPr>
          <w:ilvl w:val="2"/>
          <w:numId w:val="7"/>
        </w:numPr>
        <w:spacing w:lineRule="auto" w:line="276" w:before="0" w:after="170"/>
        <w:ind w:left="0" w:right="0" w:hanging="0"/>
        <w:rPr>
          <w:color w:val="000000"/>
        </w:rPr>
      </w:pPr>
      <w:r>
        <w:rPr>
          <w:rFonts w:ascii="Times New Roman" w:hAnsi="Times New Roman"/>
          <w:color w:val="000000"/>
          <w:sz w:val="26"/>
          <w:szCs w:val="26"/>
        </w:rPr>
        <w:t>Balanço dos eventos contratuais já cumpridos ou parcialmente cumpridos;</w:t>
      </w:r>
    </w:p>
    <w:p>
      <w:pPr>
        <w:pStyle w:val="Nivel3"/>
        <w:numPr>
          <w:ilvl w:val="2"/>
          <w:numId w:val="7"/>
        </w:numPr>
        <w:spacing w:lineRule="auto" w:line="276" w:before="0" w:after="170"/>
        <w:ind w:left="0" w:right="0" w:hanging="0"/>
        <w:rPr>
          <w:color w:val="000000"/>
        </w:rPr>
      </w:pPr>
      <w:r>
        <w:rPr>
          <w:rFonts w:ascii="Times New Roman" w:hAnsi="Times New Roman"/>
          <w:color w:val="000000"/>
          <w:sz w:val="26"/>
          <w:szCs w:val="26"/>
        </w:rPr>
        <w:t>Relação dos pagamentos já efetuados e ainda devidos;</w:t>
      </w:r>
    </w:p>
    <w:p>
      <w:pPr>
        <w:pStyle w:val="Nivel3"/>
        <w:numPr>
          <w:ilvl w:val="2"/>
          <w:numId w:val="7"/>
        </w:numPr>
        <w:spacing w:lineRule="auto" w:line="276" w:before="0" w:after="170"/>
        <w:ind w:left="0" w:right="0" w:hanging="0"/>
        <w:rPr>
          <w:color w:val="000000"/>
        </w:rPr>
      </w:pPr>
      <w:r>
        <w:rPr>
          <w:rFonts w:ascii="Times New Roman" w:hAnsi="Times New Roman"/>
          <w:color w:val="000000"/>
          <w:sz w:val="26"/>
          <w:szCs w:val="26"/>
        </w:rPr>
        <w:t>Indenizações e multas.</w:t>
      </w:r>
    </w:p>
    <w:p>
      <w:pPr>
        <w:pStyle w:val="Nivel2"/>
        <w:numPr>
          <w:ilvl w:val="1"/>
          <w:numId w:val="7"/>
        </w:numPr>
        <w:spacing w:lineRule="auto" w:line="276" w:before="0" w:after="170"/>
        <w:ind w:left="0" w:right="0" w:hanging="0"/>
        <w:rPr/>
      </w:pPr>
      <w:r>
        <w:rPr>
          <w:rFonts w:ascii="Times New Roman" w:hAnsi="Times New Roman"/>
          <w:color w:val="000000"/>
          <w:sz w:val="26"/>
          <w:szCs w:val="26"/>
        </w:rPr>
        <w:t>A extinção do contrato não configura óbice para o reconhecimento do desequilíbrio econômico-financeiro, hipótese em que será concedida indenização por meio de termo indenizatório (</w:t>
      </w:r>
      <w:r>
        <w:fldChar w:fldCharType="begin"/>
      </w:r>
      <w:r>
        <w:rPr>
          <w:rStyle w:val="LinkdaInternet"/>
          <w:sz w:val="26"/>
          <w:szCs w:val="26"/>
          <w:rFonts w:ascii="Times New Roman" w:hAnsi="Times New Roman"/>
          <w:color w:val="000000"/>
        </w:rPr>
        <w:instrText> HYPERLINK "http://www.planalto.gov.br/ccivil_03/_ato2019-2022/2021/lei/L14133.htm" \l "art131"</w:instrText>
      </w:r>
      <w:r>
        <w:rPr>
          <w:rStyle w:val="LinkdaInternet"/>
          <w:sz w:val="26"/>
          <w:szCs w:val="26"/>
          <w:rFonts w:ascii="Times New Roman" w:hAnsi="Times New Roman"/>
          <w:color w:val="000000"/>
        </w:rPr>
        <w:fldChar w:fldCharType="separate"/>
      </w:r>
      <w:r>
        <w:rPr>
          <w:rStyle w:val="LinkdaInternet"/>
          <w:rFonts w:ascii="Times New Roman" w:hAnsi="Times New Roman"/>
          <w:color w:val="000000"/>
          <w:sz w:val="26"/>
          <w:szCs w:val="26"/>
        </w:rPr>
        <w:t xml:space="preserve">art. 131, </w:t>
      </w:r>
      <w:r>
        <w:rPr>
          <w:rStyle w:val="LinkdaInternet"/>
          <w:sz w:val="26"/>
          <w:szCs w:val="26"/>
          <w:rFonts w:ascii="Times New Roman" w:hAnsi="Times New Roman"/>
          <w:color w:val="000000"/>
        </w:rPr>
        <w:fldChar w:fldCharType="end"/>
      </w:r>
      <w:r>
        <w:rPr>
          <w:rStyle w:val="LinkdaInternet"/>
          <w:rFonts w:ascii="Times New Roman" w:hAnsi="Times New Roman"/>
          <w:i/>
          <w:iCs/>
          <w:color w:val="000000"/>
          <w:sz w:val="26"/>
          <w:szCs w:val="26"/>
        </w:rPr>
        <w:t xml:space="preserve">caput, </w:t>
      </w:r>
      <w:r>
        <w:rPr>
          <w:rStyle w:val="LinkdaInternet"/>
          <w:rFonts w:ascii="Times New Roman" w:hAnsi="Times New Roman"/>
          <w:color w:val="000000"/>
          <w:sz w:val="26"/>
          <w:szCs w:val="26"/>
        </w:rPr>
        <w:t>da Lei n.º 14.133, de 2021).</w:t>
      </w:r>
      <w:r>
        <w:rPr>
          <w:rFonts w:ascii="Times New Roman" w:hAnsi="Times New Roman"/>
          <w:color w:val="000000"/>
          <w:sz w:val="26"/>
          <w:szCs w:val="26"/>
        </w:rPr>
        <w:t xml:space="preserve"> </w:t>
      </w:r>
    </w:p>
    <w:p>
      <w:pPr>
        <w:pStyle w:val="Nivel2"/>
        <w:numPr>
          <w:ilvl w:val="1"/>
          <w:numId w:val="7"/>
        </w:numPr>
        <w:spacing w:lineRule="auto" w:line="276" w:before="0" w:after="170"/>
        <w:ind w:left="0" w:right="0" w:hanging="0"/>
        <w:rPr>
          <w:color w:val="000000"/>
        </w:rPr>
      </w:pPr>
      <w:r>
        <w:rPr>
          <w:rFonts w:ascii="Times New Roman" w:hAnsi="Times New Roman"/>
          <w:color w:val="000000"/>
          <w:sz w:val="26"/>
          <w:szCs w:val="26"/>
        </w:rPr>
        <w:t>O contrato poderá ser extinto:</w:t>
      </w:r>
    </w:p>
    <w:p>
      <w:pPr>
        <w:pStyle w:val="Nivel3"/>
        <w:numPr>
          <w:ilvl w:val="2"/>
          <w:numId w:val="7"/>
        </w:numPr>
        <w:spacing w:lineRule="auto" w:line="276" w:before="0" w:after="170"/>
        <w:ind w:left="0" w:right="0" w:hanging="0"/>
        <w:rPr>
          <w:color w:val="000000"/>
        </w:rPr>
      </w:pPr>
      <w:r>
        <w:rPr>
          <w:rFonts w:ascii="Times New Roman" w:hAnsi="Times New Roman"/>
          <w:color w:val="000000"/>
          <w:sz w:val="26"/>
          <w:szCs w:val="26"/>
        </w:rPr>
        <w:t>caso se constate que o contratado mantém vínculo de natureza técnica, comercial, econômica, financeira, trabalhista ou civil com dirigente do órgão ou entidade contratante ou com agente público que tenha desempenhado função</w:t>
      </w:r>
      <w:r>
        <w:rPr>
          <w:rFonts w:ascii="Times New Roman" w:hAnsi="Times New Roman"/>
          <w:strike/>
          <w:color w:val="000000"/>
          <w:sz w:val="26"/>
          <w:szCs w:val="26"/>
        </w:rPr>
        <w:t xml:space="preserve"> na licitação</w:t>
      </w:r>
      <w:r>
        <w:rPr>
          <w:rFonts w:ascii="Times New Roman" w:hAnsi="Times New Roman"/>
          <w:color w:val="000000"/>
          <w:sz w:val="26"/>
          <w:szCs w:val="26"/>
        </w:rPr>
        <w:t xml:space="preserve"> no processo de contratação direta ou atue na fiscalização ou na gestão do contrato, ou que deles seja cônjuge, companheiro ou parente em linha reta, colateral ou por afinidade, até o terceiro grau (art. 14, inciso IV, da Lei n.º 14.133, de 2021);</w:t>
      </w:r>
    </w:p>
    <w:p>
      <w:pPr>
        <w:pStyle w:val="Nivel3"/>
        <w:numPr>
          <w:ilvl w:val="2"/>
          <w:numId w:val="7"/>
        </w:numPr>
        <w:spacing w:lineRule="auto" w:line="276" w:before="0" w:after="170"/>
        <w:ind w:left="0" w:right="0" w:hanging="0"/>
        <w:rPr>
          <w:color w:val="000000"/>
        </w:rPr>
      </w:pPr>
      <w:r>
        <w:rPr>
          <w:rFonts w:ascii="Times New Roman" w:hAnsi="Times New Roman"/>
          <w:color w:val="000000"/>
          <w:sz w:val="26"/>
          <w:szCs w:val="26"/>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pPr>
        <w:pStyle w:val="Normal"/>
        <w:spacing w:lineRule="auto" w:line="276" w:before="0" w:after="170"/>
        <w:ind w:left="0" w:right="0" w:hanging="0"/>
        <w:rPr>
          <w:rFonts w:ascii="Times New Roman" w:hAnsi="Times New Roman" w:cs="Arial"/>
          <w:i w:val="false"/>
          <w:i w:val="false"/>
          <w:iCs w:val="false"/>
          <w:color w:val="000000"/>
          <w:sz w:val="26"/>
          <w:szCs w:val="26"/>
          <w:lang w:eastAsia="pt-BR"/>
        </w:rPr>
      </w:pPr>
      <w:r>
        <w:rPr>
          <w:rFonts w:cs="Arial" w:ascii="Times New Roman" w:hAnsi="Times New Roman"/>
          <w:i w:val="false"/>
          <w:iCs w:val="false"/>
          <w:color w:val="000000"/>
          <w:sz w:val="26"/>
          <w:szCs w:val="26"/>
          <w:lang w:eastAsia="pt-BR"/>
        </w:rPr>
      </w:r>
    </w:p>
    <w:p>
      <w:pPr>
        <w:pStyle w:val="Nivel01Titulo"/>
        <w:numPr>
          <w:ilvl w:val="0"/>
          <w:numId w:val="7"/>
        </w:numPr>
        <w:spacing w:lineRule="auto" w:line="276" w:before="0" w:after="170"/>
        <w:ind w:left="0" w:right="0" w:hanging="0"/>
        <w:rPr>
          <w:color w:val="000000"/>
        </w:rPr>
      </w:pPr>
      <w:r>
        <w:rPr>
          <w:rFonts w:cs="Arial" w:ascii="Times New Roman" w:hAnsi="Times New Roman"/>
          <w:i w:val="false"/>
          <w:iCs w:val="false"/>
          <w:color w:val="000000"/>
          <w:sz w:val="26"/>
          <w:szCs w:val="26"/>
        </w:rPr>
        <w:t>CLÁUSULA DÉCIMA TERCEIRA - DOTAÇÃO ORÇAMENTÁRIA (art. 92, VIII)</w:t>
      </w:r>
    </w:p>
    <w:p>
      <w:pPr>
        <w:pStyle w:val="Normal"/>
        <w:numPr>
          <w:ilvl w:val="1"/>
          <w:numId w:val="7"/>
        </w:numPr>
        <w:spacing w:lineRule="auto" w:line="276" w:before="0" w:after="170"/>
        <w:ind w:left="0" w:right="0" w:hanging="0"/>
        <w:jc w:val="both"/>
        <w:rPr>
          <w:color w:val="000000"/>
        </w:rPr>
      </w:pPr>
      <w:r>
        <w:rPr>
          <w:rFonts w:cs="Arial" w:ascii="Times New Roman" w:hAnsi="Times New Roman"/>
          <w:i w:val="false"/>
          <w:iCs w:val="false"/>
          <w:color w:val="000000"/>
          <w:sz w:val="26"/>
          <w:szCs w:val="26"/>
        </w:rPr>
        <w:t>As despesas decorrentes da presente contratação correrão à conta de recursos específicos consignados no Orçamento Geral da União deste exercício, na dotação abaixo discriminada:</w:t>
      </w:r>
    </w:p>
    <w:p>
      <w:pPr>
        <w:pStyle w:val="Normal"/>
        <w:numPr>
          <w:ilvl w:val="1"/>
          <w:numId w:val="7"/>
        </w:numPr>
        <w:spacing w:lineRule="auto" w:line="276" w:before="0" w:after="170"/>
        <w:ind w:left="0" w:right="0" w:hanging="0"/>
        <w:jc w:val="both"/>
        <w:rPr>
          <w:color w:val="000000"/>
        </w:rPr>
      </w:pPr>
      <w:r>
        <w:rPr>
          <w:rFonts w:cs="Arial" w:ascii="Times New Roman" w:hAnsi="Times New Roman"/>
          <w:i w:val="false"/>
          <w:iCs w:val="false"/>
          <w:color w:val="000000"/>
          <w:sz w:val="26"/>
          <w:szCs w:val="26"/>
        </w:rPr>
        <w:t xml:space="preserve">Gestão/Unidade: </w:t>
      </w:r>
    </w:p>
    <w:p>
      <w:pPr>
        <w:pStyle w:val="Normal"/>
        <w:numPr>
          <w:ilvl w:val="1"/>
          <w:numId w:val="7"/>
        </w:numPr>
        <w:spacing w:lineRule="auto" w:line="276" w:before="0" w:after="170"/>
        <w:ind w:left="0" w:right="0" w:hanging="0"/>
        <w:jc w:val="both"/>
        <w:rPr>
          <w:color w:val="000000"/>
        </w:rPr>
      </w:pPr>
      <w:r>
        <w:rPr>
          <w:rFonts w:cs="Arial" w:ascii="Times New Roman" w:hAnsi="Times New Roman"/>
          <w:i w:val="false"/>
          <w:iCs w:val="false"/>
          <w:color w:val="000000"/>
          <w:sz w:val="26"/>
          <w:szCs w:val="26"/>
        </w:rPr>
        <w:t xml:space="preserve">Fonte de Recursos:  </w:t>
      </w:r>
    </w:p>
    <w:p>
      <w:pPr>
        <w:pStyle w:val="Normal"/>
        <w:numPr>
          <w:ilvl w:val="1"/>
          <w:numId w:val="7"/>
        </w:numPr>
        <w:spacing w:lineRule="auto" w:line="276" w:before="0" w:after="170"/>
        <w:ind w:left="0" w:right="0" w:hanging="0"/>
        <w:jc w:val="both"/>
        <w:rPr>
          <w:color w:val="000000"/>
        </w:rPr>
      </w:pPr>
      <w:r>
        <w:rPr>
          <w:rFonts w:cs="Arial" w:ascii="Times New Roman" w:hAnsi="Times New Roman"/>
          <w:i w:val="false"/>
          <w:iCs w:val="false"/>
          <w:color w:val="000000"/>
          <w:sz w:val="26"/>
          <w:szCs w:val="26"/>
        </w:rPr>
        <w:t xml:space="preserve">Programa de Trabalho: </w:t>
      </w:r>
    </w:p>
    <w:p>
      <w:pPr>
        <w:pStyle w:val="Normal"/>
        <w:numPr>
          <w:ilvl w:val="1"/>
          <w:numId w:val="7"/>
        </w:numPr>
        <w:spacing w:lineRule="auto" w:line="276" w:before="0" w:after="170"/>
        <w:ind w:left="0" w:right="0" w:hanging="0"/>
        <w:jc w:val="both"/>
        <w:rPr>
          <w:color w:val="000000"/>
        </w:rPr>
      </w:pPr>
      <w:r>
        <w:rPr>
          <w:rFonts w:cs="Arial" w:ascii="Times New Roman" w:hAnsi="Times New Roman"/>
          <w:i w:val="false"/>
          <w:iCs w:val="false"/>
          <w:color w:val="000000"/>
          <w:sz w:val="26"/>
          <w:szCs w:val="26"/>
        </w:rPr>
        <w:t xml:space="preserve">Elemento de Despesa: </w:t>
      </w:r>
    </w:p>
    <w:p>
      <w:pPr>
        <w:pStyle w:val="Normal"/>
        <w:numPr>
          <w:ilvl w:val="1"/>
          <w:numId w:val="7"/>
        </w:numPr>
        <w:spacing w:lineRule="auto" w:line="276" w:before="0" w:after="170"/>
        <w:ind w:left="0" w:right="0" w:hanging="0"/>
        <w:jc w:val="both"/>
        <w:rPr>
          <w:color w:val="000000"/>
        </w:rPr>
      </w:pPr>
      <w:r>
        <w:rPr>
          <w:rFonts w:cs="Arial" w:ascii="Times New Roman" w:hAnsi="Times New Roman"/>
          <w:i w:val="false"/>
          <w:iCs w:val="false"/>
          <w:color w:val="000000"/>
          <w:sz w:val="26"/>
          <w:szCs w:val="26"/>
        </w:rPr>
        <w:t xml:space="preserve">Plano Interno: </w:t>
      </w:r>
    </w:p>
    <w:p>
      <w:pPr>
        <w:pStyle w:val="Normal"/>
        <w:numPr>
          <w:ilvl w:val="1"/>
          <w:numId w:val="7"/>
        </w:numPr>
        <w:spacing w:lineRule="auto" w:line="276" w:before="0" w:after="170"/>
        <w:ind w:left="0" w:right="0" w:hanging="0"/>
        <w:jc w:val="both"/>
        <w:rPr>
          <w:color w:val="000000"/>
        </w:rPr>
      </w:pPr>
      <w:r>
        <w:rPr>
          <w:rFonts w:cs="Arial" w:ascii="Times New Roman" w:hAnsi="Times New Roman"/>
          <w:i w:val="false"/>
          <w:iCs w:val="false"/>
          <w:color w:val="000000"/>
          <w:sz w:val="26"/>
          <w:szCs w:val="26"/>
        </w:rPr>
        <w:t xml:space="preserve">Nota de Empenho: </w:t>
      </w:r>
    </w:p>
    <w:p>
      <w:pPr>
        <w:pStyle w:val="Normal"/>
        <w:numPr>
          <w:ilvl w:val="1"/>
          <w:numId w:val="7"/>
        </w:numPr>
        <w:spacing w:lineRule="auto" w:line="276" w:before="0" w:after="170"/>
        <w:ind w:left="0" w:right="0" w:hanging="0"/>
        <w:jc w:val="both"/>
        <w:rPr>
          <w:color w:val="000000"/>
        </w:rPr>
      </w:pPr>
      <w:r>
        <w:rPr>
          <w:rFonts w:cs="Arial" w:ascii="Times New Roman" w:hAnsi="Times New Roman"/>
          <w:i w:val="false"/>
          <w:iCs w:val="false"/>
          <w:color w:val="000000"/>
          <w:sz w:val="26"/>
          <w:szCs w:val="26"/>
        </w:rPr>
        <w:t>A dotação relativa aos exercícios financeiros subsequentes será indicada após aprovação da Lei Orçamentária respectiva e liberação dos créditos correspondentes, mediante apostilamento.</w:t>
      </w:r>
    </w:p>
    <w:p>
      <w:pPr>
        <w:pStyle w:val="Nivel01Titulo"/>
        <w:numPr>
          <w:ilvl w:val="0"/>
          <w:numId w:val="7"/>
        </w:numPr>
        <w:spacing w:lineRule="auto" w:line="276" w:before="0" w:after="170"/>
        <w:ind w:left="0" w:right="0" w:hanging="0"/>
        <w:rPr>
          <w:color w:val="000000"/>
        </w:rPr>
      </w:pPr>
      <w:r>
        <w:rPr>
          <w:rFonts w:cs="Arial" w:ascii="Times New Roman" w:hAnsi="Times New Roman"/>
          <w:i w:val="false"/>
          <w:iCs w:val="false"/>
          <w:color w:val="000000"/>
          <w:sz w:val="26"/>
          <w:szCs w:val="26"/>
        </w:rPr>
        <w:t>CLÁUSULA DÉCIMA QUARTA – DOS CASOS OMISSOS (art. 92, III)</w:t>
      </w:r>
    </w:p>
    <w:p>
      <w:pPr>
        <w:pStyle w:val="Normal"/>
        <w:numPr>
          <w:ilvl w:val="1"/>
          <w:numId w:val="7"/>
        </w:numPr>
        <w:spacing w:lineRule="auto" w:line="276" w:before="0" w:after="170"/>
        <w:ind w:left="0" w:right="0" w:hanging="0"/>
        <w:jc w:val="both"/>
        <w:rPr>
          <w:color w:val="000000"/>
        </w:rPr>
      </w:pPr>
      <w:r>
        <w:rPr>
          <w:rFonts w:cs="Arial" w:ascii="Times New Roman" w:hAnsi="Times New Roman"/>
          <w:i w:val="false"/>
          <w:iCs w:val="false"/>
          <w:color w:val="000000"/>
          <w:sz w:val="26"/>
          <w:szCs w:val="26"/>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ormal"/>
        <w:numPr>
          <w:ilvl w:val="0"/>
          <w:numId w:val="7"/>
        </w:numPr>
        <w:spacing w:lineRule="auto" w:line="276" w:before="0" w:after="170"/>
        <w:ind w:left="0" w:right="0" w:hanging="0"/>
        <w:jc w:val="both"/>
        <w:rPr>
          <w:b/>
          <w:b/>
          <w:bCs/>
          <w:color w:val="000000"/>
        </w:rPr>
      </w:pPr>
      <w:r>
        <w:rPr>
          <w:rFonts w:cs="Arial" w:ascii="Times New Roman" w:hAnsi="Times New Roman"/>
          <w:b/>
          <w:bCs/>
          <w:i w:val="false"/>
          <w:iCs w:val="false"/>
          <w:color w:val="000000"/>
          <w:sz w:val="26"/>
          <w:szCs w:val="26"/>
        </w:rPr>
        <w:t>CLÁUSULA DÉCIMA QUINTA – ALTERAÇÕES</w:t>
      </w:r>
    </w:p>
    <w:p>
      <w:pPr>
        <w:pStyle w:val="Normal"/>
        <w:numPr>
          <w:ilvl w:val="1"/>
          <w:numId w:val="7"/>
        </w:numPr>
        <w:spacing w:lineRule="auto" w:line="276" w:before="0" w:after="170"/>
        <w:ind w:left="0" w:right="0" w:hanging="0"/>
        <w:jc w:val="both"/>
        <w:rPr>
          <w:color w:val="000000"/>
        </w:rPr>
      </w:pPr>
      <w:r>
        <w:rPr>
          <w:rFonts w:cs="Arial" w:ascii="Times New Roman" w:hAnsi="Times New Roman"/>
          <w:i w:val="false"/>
          <w:iCs w:val="false"/>
          <w:color w:val="000000"/>
          <w:sz w:val="26"/>
          <w:szCs w:val="26"/>
        </w:rPr>
        <w:t>Eventuais alterações contratuais reger-se-ão pela disciplina dos arts. 124 e seguintes da Lei nº 14.133, de 2021.</w:t>
      </w:r>
    </w:p>
    <w:p>
      <w:pPr>
        <w:pStyle w:val="Normal"/>
        <w:numPr>
          <w:ilvl w:val="1"/>
          <w:numId w:val="7"/>
        </w:numPr>
        <w:spacing w:lineRule="auto" w:line="276" w:before="0" w:after="170"/>
        <w:ind w:left="0" w:right="0" w:hanging="0"/>
        <w:jc w:val="both"/>
        <w:rPr>
          <w:color w:val="000000"/>
        </w:rPr>
      </w:pPr>
      <w:r>
        <w:rPr>
          <w:rFonts w:cs="Arial" w:ascii="Times New Roman" w:hAnsi="Times New Roman"/>
          <w:i w:val="false"/>
          <w:iCs w:val="false"/>
          <w:color w:val="000000"/>
          <w:sz w:val="26"/>
          <w:szCs w:val="26"/>
        </w:rPr>
        <w:t>O CONTRATADO é obrigada a aceitar, nas mesmas condições contratuais, os acréscimos ou supressões que se fizerem necessários, até o limite de 25% (vinte e cinco por cento) do valor inicial atualizado do contrato.</w:t>
      </w:r>
    </w:p>
    <w:p>
      <w:pPr>
        <w:pStyle w:val="Nivel2"/>
        <w:numPr>
          <w:ilvl w:val="1"/>
          <w:numId w:val="7"/>
        </w:numPr>
        <w:spacing w:lineRule="auto" w:line="276" w:before="0" w:after="170"/>
        <w:ind w:left="0" w:right="0" w:hanging="0"/>
        <w:rPr>
          <w:color w:val="000000"/>
        </w:rPr>
      </w:pPr>
      <w:r>
        <w:rPr>
          <w:rFonts w:ascii="Times New Roman" w:hAnsi="Times New Roman"/>
          <w:color w:val="000000"/>
          <w:sz w:val="26"/>
          <w:szCs w:val="26"/>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ormal"/>
        <w:numPr>
          <w:ilvl w:val="1"/>
          <w:numId w:val="7"/>
        </w:numPr>
        <w:spacing w:lineRule="auto" w:line="276" w:before="0" w:after="170"/>
        <w:ind w:left="0" w:right="0" w:hanging="0"/>
        <w:jc w:val="both"/>
        <w:rPr/>
      </w:pPr>
      <w:r>
        <w:rPr>
          <w:rFonts w:cs="Arial" w:ascii="Times New Roman" w:hAnsi="Times New Roman"/>
          <w:i w:val="false"/>
          <w:iCs w:val="false"/>
          <w:color w:val="000000"/>
          <w:sz w:val="26"/>
          <w:szCs w:val="26"/>
        </w:rPr>
        <w:t xml:space="preserve">Registros que não caracterizam alteração do contrato podem ser realizados por simples apostila, dispensada a celebração de termo aditivo, na forma do </w:t>
      </w:r>
      <w:r>
        <w:fldChar w:fldCharType="begin"/>
      </w:r>
      <w:r>
        <w:rPr>
          <w:rStyle w:val="LinkdaInternet"/>
          <w:sz w:val="26"/>
          <w:i w:val="false"/>
          <w:szCs w:val="26"/>
          <w:iCs w:val="false"/>
          <w:rFonts w:cs="Arial" w:ascii="Times New Roman" w:hAnsi="Times New Roman"/>
          <w:color w:val="000000"/>
        </w:rPr>
        <w:instrText> HYPERLINK "http://www.planalto.gov.br/ccivil_03/_ato2019-2022/2021/lei/L14133.htm" \l "art136"</w:instrText>
      </w:r>
      <w:r>
        <w:rPr>
          <w:rStyle w:val="LinkdaInternet"/>
          <w:sz w:val="26"/>
          <w:i w:val="false"/>
          <w:szCs w:val="26"/>
          <w:iCs w:val="false"/>
          <w:rFonts w:cs="Arial" w:ascii="Times New Roman" w:hAnsi="Times New Roman"/>
          <w:color w:val="000000"/>
        </w:rPr>
        <w:fldChar w:fldCharType="separate"/>
      </w:r>
      <w:r>
        <w:rPr>
          <w:rStyle w:val="LinkdaInternet"/>
          <w:rFonts w:cs="Arial" w:ascii="Times New Roman" w:hAnsi="Times New Roman"/>
          <w:i w:val="false"/>
          <w:iCs w:val="false"/>
          <w:color w:val="000000"/>
          <w:sz w:val="26"/>
          <w:szCs w:val="26"/>
        </w:rPr>
        <w:t>art. 136 da Lei nº 14.133, de 2021</w:t>
      </w:r>
      <w:r>
        <w:rPr>
          <w:rStyle w:val="LinkdaInternet"/>
          <w:sz w:val="26"/>
          <w:i w:val="false"/>
          <w:szCs w:val="26"/>
          <w:iCs w:val="false"/>
          <w:rFonts w:cs="Arial" w:ascii="Times New Roman" w:hAnsi="Times New Roman"/>
          <w:color w:val="000000"/>
        </w:rPr>
        <w:fldChar w:fldCharType="end"/>
      </w:r>
      <w:r>
        <w:rPr>
          <w:rFonts w:cs="Arial" w:ascii="Times New Roman" w:hAnsi="Times New Roman"/>
          <w:i w:val="false"/>
          <w:iCs w:val="false"/>
          <w:color w:val="000000"/>
          <w:sz w:val="26"/>
          <w:szCs w:val="26"/>
        </w:rPr>
        <w:t>..</w:t>
      </w:r>
    </w:p>
    <w:p>
      <w:pPr>
        <w:pStyle w:val="Normal"/>
        <w:numPr>
          <w:ilvl w:val="0"/>
          <w:numId w:val="7"/>
        </w:numPr>
        <w:spacing w:lineRule="auto" w:line="276" w:before="0" w:after="170"/>
        <w:ind w:left="0" w:right="0" w:hanging="0"/>
        <w:jc w:val="both"/>
        <w:rPr>
          <w:b/>
          <w:b/>
          <w:bCs/>
          <w:color w:val="000000"/>
        </w:rPr>
      </w:pPr>
      <w:r>
        <w:rPr>
          <w:rFonts w:cs="Arial" w:ascii="Times New Roman" w:hAnsi="Times New Roman"/>
          <w:b/>
          <w:bCs/>
          <w:i w:val="false"/>
          <w:iCs w:val="false"/>
          <w:color w:val="000000"/>
          <w:sz w:val="26"/>
          <w:szCs w:val="26"/>
        </w:rPr>
        <w:t>CLÁUSULA DÉCIMA SEXTA – PUBLICAÇÃO</w:t>
      </w:r>
    </w:p>
    <w:p>
      <w:pPr>
        <w:pStyle w:val="Normal"/>
        <w:numPr>
          <w:ilvl w:val="1"/>
          <w:numId w:val="7"/>
        </w:numPr>
        <w:spacing w:lineRule="auto" w:line="276" w:before="0" w:after="170"/>
        <w:ind w:left="0" w:right="0" w:hanging="0"/>
        <w:jc w:val="both"/>
        <w:rPr/>
      </w:pPr>
      <w:r>
        <w:rPr>
          <w:rFonts w:cs="Arial" w:ascii="Times New Roman" w:hAnsi="Times New Roman"/>
          <w:i w:val="false"/>
          <w:iCs w:val="false"/>
          <w:color w:val="000000"/>
          <w:sz w:val="26"/>
          <w:szCs w:val="26"/>
        </w:rPr>
        <w:t xml:space="preserve">Incumbirá ao contratante divulgar o presente instrumento no Portal Nacional de Contratações Públicas (PNCP), na forma prevista no </w:t>
      </w:r>
      <w:r>
        <w:fldChar w:fldCharType="begin"/>
      </w:r>
      <w:r>
        <w:rPr>
          <w:rStyle w:val="LinkdaInternet"/>
          <w:sz w:val="26"/>
          <w:i w:val="false"/>
          <w:szCs w:val="26"/>
          <w:iCs w:val="false"/>
          <w:rFonts w:cs="Arial" w:ascii="Times New Roman" w:hAnsi="Times New Roman"/>
          <w:color w:val="000000"/>
        </w:rPr>
        <w:instrText> HYPERLINK "http://www.planalto.gov.br/ccivil_03/_ato2019-2022/2021/lei/L14133.htm" \l "art94"</w:instrText>
      </w:r>
      <w:r>
        <w:rPr>
          <w:rStyle w:val="LinkdaInternet"/>
          <w:sz w:val="26"/>
          <w:i w:val="false"/>
          <w:szCs w:val="26"/>
          <w:iCs w:val="false"/>
          <w:rFonts w:cs="Arial" w:ascii="Times New Roman" w:hAnsi="Times New Roman"/>
          <w:color w:val="000000"/>
        </w:rPr>
        <w:fldChar w:fldCharType="separate"/>
      </w:r>
      <w:r>
        <w:rPr>
          <w:rStyle w:val="LinkdaInternet"/>
          <w:rFonts w:cs="Arial" w:ascii="Times New Roman" w:hAnsi="Times New Roman"/>
          <w:i w:val="false"/>
          <w:iCs w:val="false"/>
          <w:color w:val="000000"/>
          <w:sz w:val="26"/>
          <w:szCs w:val="26"/>
        </w:rPr>
        <w:t>art. 94 da Lei 14.133, de 2021</w:t>
      </w:r>
      <w:r>
        <w:rPr>
          <w:rStyle w:val="LinkdaInternet"/>
          <w:sz w:val="26"/>
          <w:i w:val="false"/>
          <w:szCs w:val="26"/>
          <w:iCs w:val="false"/>
          <w:rFonts w:cs="Arial" w:ascii="Times New Roman" w:hAnsi="Times New Roman"/>
          <w:color w:val="000000"/>
        </w:rPr>
        <w:fldChar w:fldCharType="end"/>
      </w:r>
      <w:r>
        <w:rPr>
          <w:rFonts w:cs="Arial" w:ascii="Times New Roman" w:hAnsi="Times New Roman"/>
          <w:i w:val="false"/>
          <w:iCs w:val="false"/>
          <w:color w:val="000000"/>
          <w:sz w:val="26"/>
          <w:szCs w:val="26"/>
        </w:rPr>
        <w:t xml:space="preserve">, bem como no respectivo sítio oficial na Internet, em atenção ao art. 91, </w:t>
      </w:r>
      <w:r>
        <w:rPr>
          <w:rFonts w:cs="Arial" w:ascii="Times New Roman" w:hAnsi="Times New Roman"/>
          <w:i/>
          <w:iCs/>
          <w:color w:val="000000"/>
          <w:sz w:val="26"/>
          <w:szCs w:val="26"/>
        </w:rPr>
        <w:t>caput,</w:t>
      </w:r>
      <w:r>
        <w:rPr>
          <w:rFonts w:cs="Arial" w:ascii="Times New Roman" w:hAnsi="Times New Roman"/>
          <w:i w:val="false"/>
          <w:iCs w:val="false"/>
          <w:color w:val="000000"/>
          <w:sz w:val="26"/>
          <w:szCs w:val="26"/>
        </w:rPr>
        <w:t xml:space="preserve"> da Lei n.º 14.133, de 2021, e ao  </w:t>
      </w:r>
      <w:r>
        <w:fldChar w:fldCharType="begin"/>
      </w:r>
      <w:r>
        <w:rPr>
          <w:rStyle w:val="LinkdaInternet"/>
          <w:sz w:val="26"/>
          <w:i w:val="false"/>
          <w:szCs w:val="26"/>
          <w:iCs w:val="false"/>
          <w:rFonts w:cs="Arial" w:ascii="Times New Roman" w:hAnsi="Times New Roman"/>
          <w:color w:val="000000"/>
        </w:rPr>
        <w:instrText> HYPERLINK "https://www.planalto.gov.br/ccivil_03/_ato2011-2014/2011/lei/l12527.htm" \l "art8§2"</w:instrText>
      </w:r>
      <w:r>
        <w:rPr>
          <w:rStyle w:val="LinkdaInternet"/>
          <w:sz w:val="26"/>
          <w:i w:val="false"/>
          <w:szCs w:val="26"/>
          <w:iCs w:val="false"/>
          <w:rFonts w:cs="Arial" w:ascii="Times New Roman" w:hAnsi="Times New Roman"/>
          <w:color w:val="000000"/>
        </w:rPr>
        <w:fldChar w:fldCharType="separate"/>
      </w:r>
      <w:r>
        <w:rPr>
          <w:rStyle w:val="LinkdaInternet"/>
          <w:rFonts w:cs="Arial" w:ascii="Times New Roman" w:hAnsi="Times New Roman"/>
          <w:i w:val="false"/>
          <w:iCs w:val="false"/>
          <w:color w:val="000000"/>
          <w:sz w:val="26"/>
          <w:szCs w:val="26"/>
        </w:rPr>
        <w:t>art. 8º, §2º, da Lei n. 12.527, de 2011</w:t>
      </w:r>
      <w:r>
        <w:rPr>
          <w:rStyle w:val="LinkdaInternet"/>
          <w:sz w:val="26"/>
          <w:i w:val="false"/>
          <w:szCs w:val="26"/>
          <w:iCs w:val="false"/>
          <w:rFonts w:cs="Arial" w:ascii="Times New Roman" w:hAnsi="Times New Roman"/>
          <w:color w:val="000000"/>
        </w:rPr>
        <w:fldChar w:fldCharType="end"/>
      </w:r>
      <w:r>
        <w:rPr>
          <w:rFonts w:cs="Arial" w:ascii="Times New Roman" w:hAnsi="Times New Roman"/>
          <w:i w:val="false"/>
          <w:iCs w:val="false"/>
          <w:color w:val="000000"/>
          <w:sz w:val="26"/>
          <w:szCs w:val="26"/>
        </w:rPr>
        <w:t xml:space="preserve">, c/c </w:t>
      </w:r>
      <w:r>
        <w:fldChar w:fldCharType="begin"/>
      </w:r>
      <w:r>
        <w:rPr>
          <w:rStyle w:val="LinkdaInternet"/>
          <w:sz w:val="26"/>
          <w:i w:val="false"/>
          <w:szCs w:val="26"/>
          <w:iCs w:val="false"/>
          <w:rFonts w:cs="Arial" w:ascii="Times New Roman" w:hAnsi="Times New Roman"/>
          <w:color w:val="000000"/>
        </w:rPr>
        <w:instrText> HYPERLINK "https://www.planalto.gov.br/ccivil_03/_ato2011-2014/2012/decreto/d7724.htm" \l "art7§3"</w:instrText>
      </w:r>
      <w:r>
        <w:rPr>
          <w:rStyle w:val="LinkdaInternet"/>
          <w:sz w:val="26"/>
          <w:i w:val="false"/>
          <w:szCs w:val="26"/>
          <w:iCs w:val="false"/>
          <w:rFonts w:cs="Arial" w:ascii="Times New Roman" w:hAnsi="Times New Roman"/>
          <w:color w:val="000000"/>
        </w:rPr>
        <w:fldChar w:fldCharType="separate"/>
      </w:r>
      <w:r>
        <w:rPr>
          <w:rStyle w:val="LinkdaInternet"/>
          <w:rFonts w:cs="Arial" w:ascii="Times New Roman" w:hAnsi="Times New Roman"/>
          <w:i w:val="false"/>
          <w:iCs w:val="false"/>
          <w:color w:val="000000"/>
          <w:sz w:val="26"/>
          <w:szCs w:val="26"/>
        </w:rPr>
        <w:t>art. 7º, §3º, inciso V, do Decreto n. 7.724, de 2012.</w:t>
      </w:r>
      <w:r>
        <w:rPr>
          <w:rStyle w:val="LinkdaInternet"/>
          <w:sz w:val="26"/>
          <w:i w:val="false"/>
          <w:szCs w:val="26"/>
          <w:iCs w:val="false"/>
          <w:rFonts w:cs="Arial" w:ascii="Times New Roman" w:hAnsi="Times New Roman"/>
          <w:color w:val="000000"/>
        </w:rPr>
        <w:fldChar w:fldCharType="end"/>
      </w:r>
      <w:r>
        <w:rPr>
          <w:rFonts w:cs="Arial" w:ascii="Times New Roman" w:hAnsi="Times New Roman"/>
          <w:i w:val="false"/>
          <w:iCs w:val="false"/>
          <w:color w:val="000000"/>
          <w:sz w:val="26"/>
          <w:szCs w:val="26"/>
        </w:rPr>
        <w:t xml:space="preserve"> </w:t>
      </w:r>
    </w:p>
    <w:p>
      <w:pPr>
        <w:pStyle w:val="Normal"/>
        <w:numPr>
          <w:ilvl w:val="0"/>
          <w:numId w:val="7"/>
        </w:numPr>
        <w:spacing w:lineRule="auto" w:line="276" w:before="0" w:after="170"/>
        <w:ind w:left="0" w:right="0" w:hanging="0"/>
        <w:jc w:val="both"/>
        <w:rPr>
          <w:b/>
          <w:b/>
          <w:bCs/>
          <w:color w:val="000000"/>
        </w:rPr>
      </w:pPr>
      <w:r>
        <w:rPr>
          <w:rFonts w:cs="Arial" w:ascii="Times New Roman" w:hAnsi="Times New Roman"/>
          <w:b/>
          <w:bCs/>
          <w:i w:val="false"/>
          <w:iCs w:val="false"/>
          <w:color w:val="000000"/>
          <w:sz w:val="26"/>
          <w:szCs w:val="26"/>
        </w:rPr>
        <w:t>CLÁUSULA DÉCIMA SÉTIMA – FORO (art. 92, §1º)</w:t>
      </w:r>
    </w:p>
    <w:p>
      <w:pPr>
        <w:pStyle w:val="Normal"/>
        <w:numPr>
          <w:ilvl w:val="1"/>
          <w:numId w:val="7"/>
        </w:numPr>
        <w:spacing w:lineRule="auto" w:line="276" w:before="0" w:after="170"/>
        <w:ind w:left="0" w:right="0" w:hanging="0"/>
        <w:jc w:val="both"/>
        <w:rPr>
          <w:color w:val="000000"/>
        </w:rPr>
      </w:pPr>
      <w:r>
        <w:rPr>
          <w:rFonts w:cs="Arial" w:ascii="Times New Roman" w:hAnsi="Times New Roman"/>
          <w:i w:val="false"/>
          <w:iCs w:val="false"/>
          <w:color w:val="000000"/>
          <w:sz w:val="26"/>
          <w:szCs w:val="26"/>
        </w:rPr>
        <w:t xml:space="preserve">É eleito o Foro da Subseção de Curitiba da Seção Judiciária do Estado do Paraná - Justiça Federal não possam ser compostos pela conciliação, conforme art. 92, §1º da Lei nº 14.133/21. </w:t>
      </w:r>
    </w:p>
    <w:p>
      <w:pPr>
        <w:pStyle w:val="Normal"/>
        <w:spacing w:lineRule="auto" w:line="276" w:before="0" w:after="170"/>
        <w:ind w:left="0" w:right="0" w:hanging="0"/>
        <w:rPr>
          <w:rFonts w:ascii="Times New Roman" w:hAnsi="Times New Roman" w:cs="Arial"/>
          <w:i w:val="false"/>
          <w:i w:val="false"/>
          <w:iCs w:val="false"/>
          <w:color w:val="000000"/>
          <w:sz w:val="26"/>
          <w:szCs w:val="26"/>
          <w:lang w:eastAsia="pt-BR"/>
        </w:rPr>
      </w:pPr>
      <w:r>
        <w:rPr>
          <w:rFonts w:cs="Arial" w:ascii="Times New Roman" w:hAnsi="Times New Roman"/>
          <w:i w:val="false"/>
          <w:iCs w:val="false"/>
          <w:color w:val="000000"/>
          <w:sz w:val="26"/>
          <w:szCs w:val="26"/>
          <w:lang w:eastAsia="pt-BR"/>
        </w:rPr>
      </w:r>
    </w:p>
    <w:p>
      <w:pPr>
        <w:pStyle w:val="Normal"/>
        <w:spacing w:lineRule="auto" w:line="276" w:before="0" w:after="170"/>
        <w:ind w:left="0" w:right="0" w:hanging="0"/>
        <w:jc w:val="both"/>
        <w:rPr>
          <w:rFonts w:ascii="Times New Roman" w:hAnsi="Times New Roman" w:cs="Arial"/>
          <w:i w:val="false"/>
          <w:i w:val="false"/>
          <w:iCs w:val="false"/>
          <w:color w:val="000000"/>
          <w:sz w:val="26"/>
          <w:szCs w:val="26"/>
        </w:rPr>
      </w:pPr>
      <w:r>
        <w:rPr>
          <w:rFonts w:cs="Arial" w:ascii="Times New Roman" w:hAnsi="Times New Roman"/>
          <w:i w:val="false"/>
          <w:iCs w:val="false"/>
          <w:color w:val="000000"/>
          <w:sz w:val="26"/>
          <w:szCs w:val="26"/>
        </w:rPr>
      </w:r>
    </w:p>
    <w:p>
      <w:pPr>
        <w:pStyle w:val="Normal"/>
        <w:spacing w:lineRule="auto" w:line="276" w:before="0" w:after="170"/>
        <w:ind w:left="0" w:right="0" w:hanging="0"/>
        <w:jc w:val="both"/>
        <w:rPr>
          <w:color w:val="000000"/>
        </w:rPr>
      </w:pPr>
      <w:r>
        <w:rPr>
          <w:rFonts w:cs="Arial" w:ascii="Times New Roman" w:hAnsi="Times New Roman"/>
          <w:i w:val="false"/>
          <w:iCs w:val="false"/>
          <w:color w:val="000000"/>
          <w:sz w:val="26"/>
          <w:szCs w:val="26"/>
        </w:rPr>
        <w:t>...........................................,  .......... de.......................................... de 20.....</w:t>
      </w:r>
    </w:p>
    <w:p>
      <w:pPr>
        <w:pStyle w:val="Normal"/>
        <w:spacing w:lineRule="auto" w:line="276" w:before="0" w:after="170"/>
        <w:ind w:left="0" w:right="0" w:hanging="0"/>
        <w:jc w:val="both"/>
        <w:rPr>
          <w:rFonts w:ascii="Times New Roman" w:hAnsi="Times New Roman" w:cs="Arial"/>
          <w:bCs/>
          <w:i w:val="false"/>
          <w:i w:val="false"/>
          <w:iCs w:val="false"/>
          <w:color w:val="000000"/>
          <w:sz w:val="26"/>
          <w:szCs w:val="26"/>
        </w:rPr>
      </w:pPr>
      <w:r>
        <w:rPr>
          <w:rFonts w:cs="Arial" w:ascii="Times New Roman" w:hAnsi="Times New Roman"/>
          <w:bCs/>
          <w:i w:val="false"/>
          <w:iCs w:val="false"/>
          <w:color w:val="000000"/>
          <w:sz w:val="26"/>
          <w:szCs w:val="26"/>
        </w:rPr>
      </w:r>
    </w:p>
    <w:p>
      <w:pPr>
        <w:pStyle w:val="Normal"/>
        <w:spacing w:lineRule="auto" w:line="276" w:before="0" w:after="170"/>
        <w:ind w:left="0" w:right="0" w:hanging="0"/>
        <w:jc w:val="center"/>
        <w:rPr>
          <w:color w:val="000000"/>
        </w:rPr>
      </w:pPr>
      <w:r>
        <w:rPr>
          <w:rFonts w:cs="Arial" w:ascii="Times New Roman" w:hAnsi="Times New Roman"/>
          <w:bCs/>
          <w:i w:val="false"/>
          <w:iCs w:val="false"/>
          <w:color w:val="000000"/>
          <w:sz w:val="26"/>
          <w:szCs w:val="26"/>
        </w:rPr>
        <w:t>_________________________</w:t>
      </w:r>
    </w:p>
    <w:p>
      <w:pPr>
        <w:pStyle w:val="Normal"/>
        <w:spacing w:lineRule="auto" w:line="276" w:before="0" w:after="170"/>
        <w:ind w:left="0" w:right="0" w:hanging="0"/>
        <w:jc w:val="center"/>
        <w:rPr>
          <w:color w:val="000000"/>
        </w:rPr>
      </w:pPr>
      <w:r>
        <w:rPr>
          <w:rFonts w:cs="Arial" w:ascii="Times New Roman" w:hAnsi="Times New Roman"/>
          <w:bCs/>
          <w:i w:val="false"/>
          <w:iCs w:val="false"/>
          <w:color w:val="000000"/>
          <w:sz w:val="26"/>
          <w:szCs w:val="26"/>
        </w:rPr>
        <w:t>Representante legal do CONTRATANTE</w:t>
      </w:r>
    </w:p>
    <w:p>
      <w:pPr>
        <w:pStyle w:val="Normal"/>
        <w:spacing w:lineRule="auto" w:line="276" w:before="0" w:after="170"/>
        <w:ind w:left="0" w:right="0" w:hanging="0"/>
        <w:jc w:val="center"/>
        <w:rPr>
          <w:color w:val="000000"/>
        </w:rPr>
      </w:pPr>
      <w:r>
        <w:rPr>
          <w:rFonts w:cs="Arial" w:ascii="Times New Roman" w:hAnsi="Times New Roman"/>
          <w:i w:val="false"/>
          <w:iCs w:val="false"/>
          <w:color w:val="000000"/>
          <w:sz w:val="26"/>
          <w:szCs w:val="26"/>
        </w:rPr>
        <w:t>_________________________</w:t>
      </w:r>
    </w:p>
    <w:p>
      <w:pPr>
        <w:pStyle w:val="Normal"/>
        <w:spacing w:lineRule="auto" w:line="276" w:before="0" w:after="170"/>
        <w:ind w:left="0" w:right="0" w:hanging="0"/>
        <w:jc w:val="center"/>
        <w:rPr>
          <w:color w:val="000000"/>
        </w:rPr>
      </w:pPr>
      <w:r>
        <w:rPr>
          <w:rFonts w:cs="Arial" w:ascii="Times New Roman" w:hAnsi="Times New Roman"/>
          <w:bCs/>
          <w:i w:val="false"/>
          <w:iCs w:val="false"/>
          <w:color w:val="000000"/>
          <w:sz w:val="26"/>
          <w:szCs w:val="26"/>
        </w:rPr>
        <w:t>Representante</w:t>
      </w:r>
      <w:r>
        <w:rPr>
          <w:rFonts w:cs="Arial" w:ascii="Times New Roman" w:hAnsi="Times New Roman"/>
          <w:i w:val="false"/>
          <w:iCs w:val="false"/>
          <w:color w:val="000000"/>
          <w:sz w:val="26"/>
          <w:szCs w:val="26"/>
        </w:rPr>
        <w:t xml:space="preserve"> legal do CONTRATADO</w:t>
      </w:r>
    </w:p>
    <w:p>
      <w:pPr>
        <w:pStyle w:val="Normal"/>
        <w:spacing w:lineRule="auto" w:line="276" w:before="0" w:after="170"/>
        <w:ind w:left="0" w:right="0" w:hanging="0"/>
        <w:jc w:val="both"/>
        <w:rPr>
          <w:color w:val="000000"/>
        </w:rPr>
      </w:pPr>
      <w:r>
        <w:rPr>
          <w:rFonts w:cs="Arial" w:ascii="Times New Roman" w:hAnsi="Times New Roman"/>
          <w:i w:val="false"/>
          <w:iCs w:val="false"/>
          <w:color w:val="000000"/>
          <w:sz w:val="26"/>
          <w:szCs w:val="26"/>
        </w:rPr>
        <w:t>TESTEMUNHAS:</w:t>
      </w:r>
    </w:p>
    <w:p>
      <w:pPr>
        <w:pStyle w:val="Normal"/>
        <w:spacing w:lineRule="auto" w:line="276" w:before="0" w:after="170"/>
        <w:ind w:left="0" w:right="0" w:hanging="0"/>
        <w:rPr>
          <w:color w:val="000000"/>
        </w:rPr>
      </w:pPr>
      <w:r>
        <w:rPr>
          <w:rFonts w:cs="Arial" w:ascii="Times New Roman" w:hAnsi="Times New Roman"/>
          <w:i w:val="false"/>
          <w:iCs w:val="false"/>
          <w:color w:val="000000"/>
          <w:sz w:val="26"/>
          <w:szCs w:val="26"/>
        </w:rPr>
        <w:t>1-</w:t>
      </w:r>
    </w:p>
    <w:p>
      <w:pPr>
        <w:pStyle w:val="Normal"/>
        <w:spacing w:lineRule="auto" w:line="276" w:before="0" w:after="170"/>
        <w:ind w:left="0" w:right="0" w:hanging="0"/>
        <w:rPr>
          <w:color w:val="000000"/>
        </w:rPr>
      </w:pPr>
      <w:r>
        <w:rPr>
          <w:rFonts w:cs="Arial" w:ascii="Times New Roman" w:hAnsi="Times New Roman"/>
          <w:i w:val="false"/>
          <w:iCs w:val="false"/>
          <w:color w:val="000000"/>
          <w:sz w:val="26"/>
          <w:szCs w:val="26"/>
        </w:rPr>
        <w:t xml:space="preserve">2- </w:t>
      </w:r>
    </w:p>
    <w:p>
      <w:pPr>
        <w:pStyle w:val="Normal"/>
        <w:spacing w:lineRule="auto" w:line="276" w:before="0" w:after="170"/>
        <w:ind w:left="0" w:right="0" w:hanging="0"/>
        <w:rPr>
          <w:rFonts w:ascii="Times New Roman" w:hAnsi="Times New Roman" w:cs="Arial"/>
          <w:i w:val="false"/>
          <w:i w:val="false"/>
          <w:iCs w:val="false"/>
          <w:color w:val="000000"/>
          <w:sz w:val="26"/>
          <w:szCs w:val="26"/>
          <w:lang w:eastAsia="pt-BR"/>
        </w:rPr>
      </w:pPr>
      <w:r>
        <w:rPr>
          <w:rFonts w:cs="Arial" w:ascii="Times New Roman" w:hAnsi="Times New Roman"/>
          <w:i w:val="false"/>
          <w:iCs w:val="false"/>
          <w:color w:val="000000"/>
          <w:sz w:val="26"/>
          <w:szCs w:val="26"/>
          <w:lang w:eastAsia="pt-BR"/>
        </w:rPr>
      </w:r>
    </w:p>
    <w:p>
      <w:pPr>
        <w:pStyle w:val="Normal"/>
        <w:spacing w:lineRule="auto" w:line="276" w:before="0" w:after="170"/>
        <w:ind w:left="0" w:right="0" w:hanging="0"/>
        <w:rPr>
          <w:color w:val="000000"/>
        </w:rPr>
      </w:pPr>
      <w:r>
        <w:rPr>
          <w:color w:val="000000"/>
        </w:rPr>
      </w:r>
    </w:p>
    <w:sectPr>
      <w:footerReference w:type="default" r:id="rId18"/>
      <w:type w:val="nextPage"/>
      <w:pgSz w:w="11906" w:h="16838"/>
      <w:pgMar w:left="1701" w:right="1701" w:header="0" w:top="1417" w:footer="708"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libri Light">
    <w:charset w:val="01"/>
    <w:family w:val="roman"/>
    <w:pitch w:val="variable"/>
  </w:font>
  <w:font w:name="Arial">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Times New Roman">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Fonts w:cs="Arial" w:ascii="Arial" w:hAnsi="Arial"/>
        <w:sz w:val="14"/>
        <w:szCs w:val="14"/>
      </w:rPr>
      <w:t>Câmara Nacional de Modelos de Licitações e Contratos da Consultoria-Geral da União</w:t>
    </w:r>
  </w:p>
  <w:p>
    <w:pPr>
      <w:pStyle w:val="Rodap"/>
      <w:rPr/>
    </w:pPr>
    <w:r>
      <w:rPr>
        <w:rFonts w:cs="Arial" w:ascii="Arial" w:hAnsi="Arial"/>
        <w:sz w:val="14"/>
        <w:szCs w:val="14"/>
      </w:rPr>
      <w:t xml:space="preserve">Atualização: </w:t>
    </w:r>
    <w:r>
      <w:rPr>
        <w:rFonts w:cs="Arial" w:ascii="Arial" w:hAnsi="Arial"/>
        <w:sz w:val="14"/>
        <w:szCs w:val="14"/>
        <w:highlight w:val="yellow"/>
      </w:rPr>
      <w:t>agosto/2023</w:t>
    </w:r>
  </w:p>
  <w:p>
    <w:pPr>
      <w:pStyle w:val="Rodap"/>
      <w:rPr/>
    </w:pPr>
    <w:r>
      <w:rPr>
        <w:rFonts w:cs="Arial" w:ascii="Arial" w:hAnsi="Arial"/>
        <w:sz w:val="14"/>
        <w:szCs w:val="14"/>
      </w:rPr>
      <w:t>Termo de contrato modelo para Pregão Eletrônico - Engenharia - Lei n.º 14.133, de 2021.</w:t>
    </w:r>
  </w:p>
  <w:p>
    <w:pPr>
      <w:pStyle w:val="Rodap"/>
      <w:rPr/>
    </w:pPr>
    <w:r>
      <w:rPr>
        <w:rFonts w:cs="Arial" w:ascii="Arial" w:hAnsi="Arial"/>
        <w:sz w:val="14"/>
        <w:szCs w:val="14"/>
      </w:rPr>
      <w:t>Revisado pela Secretaria de Gestão e Inovação.</w:t>
    </w:r>
  </w:p>
  <w:p>
    <w:pPr>
      <w:pStyle w:val="Rodap"/>
      <w:rPr/>
    </w:pPr>
    <w:r>
      <w:rPr>
        <w:rFonts w:cs="Arial" w:ascii="Arial" w:hAnsi="Arial"/>
        <w:sz w:val="14"/>
        <w:szCs w:val="14"/>
      </w:rPr>
      <w:t xml:space="preserve">Identidade visual pela Secretaria de Gestão e Inovação (versão </w:t>
    </w:r>
    <w:r>
      <w:rPr>
        <w:rFonts w:cs="Arial" w:ascii="Arial" w:hAnsi="Arial"/>
        <w:sz w:val="14"/>
        <w:szCs w:val="14"/>
        <w:highlight w:val="yellow"/>
      </w:rPr>
      <w:t>agosto/2023</w:t>
    </w:r>
    <w:r>
      <w:rPr>
        <w:rFonts w:cs="Arial" w:ascii="Arial" w:hAnsi="Arial"/>
        <w:sz w:val="14"/>
        <w:szCs w:val="14"/>
      </w:rPr>
      <w:t>)</w:t>
    </w:r>
  </w:p>
  <w:p>
    <w:pPr>
      <w:pStyle w:val="Rodap"/>
      <w:rPr>
        <w:sz w:val="12"/>
        <w:szCs w:val="12"/>
      </w:rPr>
    </w:pPr>
    <w:r>
      <w:rPr>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sz w:val="24"/>
        <w:i w:val="false"/>
        <w:b/>
        <w:color w:val="2F5496"/>
      </w:rPr>
    </w:lvl>
    <w:lvl w:ilvl="1">
      <w:start w:val="1"/>
      <w:numFmt w:val="decimal"/>
      <w:suff w:val="space"/>
      <w:lvlText w:val="%1.%2."/>
      <w:lvlJc w:val="left"/>
      <w:pPr>
        <w:tabs>
          <w:tab w:val="num" w:pos="0"/>
        </w:tabs>
        <w:ind w:left="0" w:hanging="0"/>
      </w:pPr>
      <w:rPr>
        <w:dstrike w:val="false"/>
        <w:strike w:val="false"/>
        <w:sz w:val="24"/>
        <w:i w:val="false"/>
        <w:b w:val="false"/>
        <w:szCs w:val="20"/>
        <w:rFonts w:cs="Arial"/>
        <w:color w:val="00000A"/>
      </w:rPr>
    </w:lvl>
    <w:lvl w:ilvl="2">
      <w:start w:val="1"/>
      <w:numFmt w:val="decimal"/>
      <w:suff w:val="space"/>
      <w:lvlText w:val="%1.%2.%3."/>
      <w:lvlJc w:val="left"/>
      <w:pPr>
        <w:tabs>
          <w:tab w:val="num" w:pos="0"/>
        </w:tabs>
        <w:ind w:left="1418" w:hanging="0"/>
      </w:pPr>
      <w:rPr>
        <w:sz w:val="24"/>
        <w:i w:val="false"/>
        <w:b w:val="false"/>
        <w:color w:val="00000A"/>
      </w:rPr>
    </w:lvl>
    <w:lvl w:ilvl="3">
      <w:start w:val="1"/>
      <w:numFmt w:val="decimal"/>
      <w:suff w:val="space"/>
      <w:lvlText w:val="%1.%2.%3.%4."/>
      <w:lvlJc w:val="left"/>
      <w:pPr>
        <w:tabs>
          <w:tab w:val="num" w:pos="0"/>
        </w:tabs>
        <w:ind w:left="1702" w:hanging="0"/>
      </w:pPr>
      <w:rPr>
        <w:i w:val="false"/>
        <w:b w:val="false"/>
        <w:bCs/>
        <w:color w:val="00000A"/>
      </w:rPr>
    </w:lvl>
    <w:lvl w:ilvl="4">
      <w:start w:val="1"/>
      <w:numFmt w:val="decimal"/>
      <w:suff w:val="space"/>
      <w:lvlText w:val="%1.%2.%3.%4.%5."/>
      <w:lvlJc w:val="left"/>
      <w:pPr>
        <w:tabs>
          <w:tab w:val="num" w:pos="0"/>
        </w:tabs>
        <w:ind w:left="1134" w:hanging="0"/>
      </w:pPr>
      <w:rPr>
        <w:i w:val="false"/>
        <w:b w:val="false"/>
        <w:color w:val="00000A"/>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lvl w:ilvl="0">
      <w:start w:val="4"/>
      <w:numFmt w:val="decimal"/>
      <w:lvlText w:val="%1"/>
      <w:lvlJc w:val="left"/>
      <w:pPr>
        <w:tabs>
          <w:tab w:val="num" w:pos="0"/>
        </w:tabs>
        <w:ind w:left="450" w:hanging="450"/>
      </w:pPr>
    </w:lvl>
    <w:lvl w:ilvl="1">
      <w:start w:val="1"/>
      <w:numFmt w:val="decimal"/>
      <w:lvlText w:val="%1.%2"/>
      <w:lvlJc w:val="left"/>
      <w:pPr>
        <w:tabs>
          <w:tab w:val="num" w:pos="0"/>
        </w:tabs>
        <w:ind w:left="663" w:hanging="450"/>
      </w:pPr>
    </w:lvl>
    <w:lvl w:ilvl="2">
      <w:start w:val="1"/>
      <w:numFmt w:val="decimal"/>
      <w:lvlText w:val="%1.%2.%3"/>
      <w:lvlJc w:val="left"/>
      <w:pPr>
        <w:tabs>
          <w:tab w:val="num" w:pos="0"/>
        </w:tabs>
        <w:ind w:left="1146" w:hanging="720"/>
      </w:pPr>
      <w:rPr>
        <w:sz w:val="24"/>
        <w:i w:val="false"/>
        <w:color w:val="00000A"/>
      </w:rPr>
    </w:lvl>
    <w:lvl w:ilvl="3">
      <w:start w:val="1"/>
      <w:numFmt w:val="decimal"/>
      <w:lvlText w:val="%1.%2.%3.%4"/>
      <w:lvlJc w:val="left"/>
      <w:pPr>
        <w:tabs>
          <w:tab w:val="num" w:pos="0"/>
        </w:tabs>
        <w:ind w:left="1359" w:hanging="720"/>
      </w:pPr>
      <w:rPr>
        <w:i w:val="false"/>
      </w:rPr>
    </w:lvl>
    <w:lvl w:ilvl="4">
      <w:start w:val="1"/>
      <w:numFmt w:val="decimal"/>
      <w:lvlText w:val="%1.%2.%3.%4.%5"/>
      <w:lvlJc w:val="left"/>
      <w:pPr>
        <w:tabs>
          <w:tab w:val="num" w:pos="0"/>
        </w:tabs>
        <w:ind w:left="1932" w:hanging="1080"/>
      </w:pPr>
    </w:lvl>
    <w:lvl w:ilvl="5">
      <w:start w:val="1"/>
      <w:numFmt w:val="decimal"/>
      <w:lvlText w:val="%1.%2.%3.%4.%5.%6"/>
      <w:lvlJc w:val="left"/>
      <w:pPr>
        <w:tabs>
          <w:tab w:val="num" w:pos="0"/>
        </w:tabs>
        <w:ind w:left="2145" w:hanging="1080"/>
      </w:pPr>
    </w:lvl>
    <w:lvl w:ilvl="6">
      <w:start w:val="1"/>
      <w:numFmt w:val="decimal"/>
      <w:lvlText w:val="%1.%2.%3.%4.%5.%6.%7"/>
      <w:lvlJc w:val="left"/>
      <w:pPr>
        <w:tabs>
          <w:tab w:val="num" w:pos="0"/>
        </w:tabs>
        <w:ind w:left="2718" w:hanging="1440"/>
      </w:pPr>
    </w:lvl>
    <w:lvl w:ilvl="7">
      <w:start w:val="1"/>
      <w:numFmt w:val="decimal"/>
      <w:lvlText w:val="%1.%2.%3.%4.%5.%6.%7.%8"/>
      <w:lvlJc w:val="left"/>
      <w:pPr>
        <w:tabs>
          <w:tab w:val="num" w:pos="0"/>
        </w:tabs>
        <w:ind w:left="2931" w:hanging="1440"/>
      </w:pPr>
    </w:lvl>
    <w:lvl w:ilvl="8">
      <w:start w:val="1"/>
      <w:numFmt w:val="decimal"/>
      <w:lvlText w:val="%1.%2.%3.%4.%5.%6.%7.%8.%9"/>
      <w:lvlJc w:val="left"/>
      <w:pPr>
        <w:tabs>
          <w:tab w:val="num" w:pos="0"/>
        </w:tabs>
        <w:ind w:left="3504" w:hanging="1800"/>
      </w:pPr>
    </w:lvl>
  </w:abstractNum>
  <w:abstractNum w:abstractNumId="3">
    <w:lvl w:ilvl="0">
      <w:start w:val="4"/>
      <w:numFmt w:val="decimal"/>
      <w:lvlText w:val="%1"/>
      <w:lvlJc w:val="left"/>
      <w:pPr>
        <w:tabs>
          <w:tab w:val="num" w:pos="0"/>
        </w:tabs>
        <w:ind w:left="450" w:hanging="450"/>
      </w:pPr>
    </w:lvl>
    <w:lvl w:ilvl="1">
      <w:start w:val="2"/>
      <w:numFmt w:val="decimal"/>
      <w:lvlText w:val="%1.%2"/>
      <w:lvlJc w:val="left"/>
      <w:pPr>
        <w:tabs>
          <w:tab w:val="num" w:pos="0"/>
        </w:tabs>
        <w:ind w:left="915" w:hanging="450"/>
      </w:pPr>
    </w:lvl>
    <w:lvl w:ilvl="2">
      <w:start w:val="1"/>
      <w:numFmt w:val="decimal"/>
      <w:lvlText w:val="%1.%2.%3"/>
      <w:lvlJc w:val="left"/>
      <w:pPr>
        <w:tabs>
          <w:tab w:val="num" w:pos="0"/>
        </w:tabs>
        <w:ind w:left="1650" w:hanging="720"/>
      </w:pPr>
      <w:rPr>
        <w:sz w:val="24"/>
        <w:i w:val="false"/>
        <w:color w:val="00000A"/>
      </w:rPr>
    </w:lvl>
    <w:lvl w:ilvl="3">
      <w:start w:val="1"/>
      <w:numFmt w:val="decimal"/>
      <w:lvlText w:val="%1.%2.%3.%4"/>
      <w:lvlJc w:val="left"/>
      <w:pPr>
        <w:tabs>
          <w:tab w:val="num" w:pos="0"/>
        </w:tabs>
        <w:ind w:left="2115" w:hanging="720"/>
      </w:pPr>
    </w:lvl>
    <w:lvl w:ilvl="4">
      <w:start w:val="1"/>
      <w:numFmt w:val="decimal"/>
      <w:lvlText w:val="%1.%2.%3.%4.%5"/>
      <w:lvlJc w:val="left"/>
      <w:pPr>
        <w:tabs>
          <w:tab w:val="num" w:pos="0"/>
        </w:tabs>
        <w:ind w:left="2940" w:hanging="1080"/>
      </w:pPr>
    </w:lvl>
    <w:lvl w:ilvl="5">
      <w:start w:val="1"/>
      <w:numFmt w:val="decimal"/>
      <w:lvlText w:val="%1.%2.%3.%4.%5.%6"/>
      <w:lvlJc w:val="left"/>
      <w:pPr>
        <w:tabs>
          <w:tab w:val="num" w:pos="0"/>
        </w:tabs>
        <w:ind w:left="3405" w:hanging="1080"/>
      </w:pPr>
    </w:lvl>
    <w:lvl w:ilvl="6">
      <w:start w:val="1"/>
      <w:numFmt w:val="decimal"/>
      <w:lvlText w:val="%1.%2.%3.%4.%5.%6.%7"/>
      <w:lvlJc w:val="left"/>
      <w:pPr>
        <w:tabs>
          <w:tab w:val="num" w:pos="0"/>
        </w:tabs>
        <w:ind w:left="4230" w:hanging="1440"/>
      </w:pPr>
    </w:lvl>
    <w:lvl w:ilvl="7">
      <w:start w:val="1"/>
      <w:numFmt w:val="decimal"/>
      <w:lvlText w:val="%1.%2.%3.%4.%5.%6.%7.%8"/>
      <w:lvlJc w:val="left"/>
      <w:pPr>
        <w:tabs>
          <w:tab w:val="num" w:pos="0"/>
        </w:tabs>
        <w:ind w:left="4695" w:hanging="1440"/>
      </w:pPr>
    </w:lvl>
    <w:lvl w:ilvl="8">
      <w:start w:val="1"/>
      <w:numFmt w:val="decimal"/>
      <w:lvlText w:val="%1.%2.%3.%4.%5.%6.%7.%8.%9"/>
      <w:lvlJc w:val="left"/>
      <w:pPr>
        <w:tabs>
          <w:tab w:val="num" w:pos="0"/>
        </w:tabs>
        <w:ind w:left="5520" w:hanging="1800"/>
      </w:pPr>
    </w:lvl>
  </w:abstractNum>
  <w:abstractNum w:abstractNumId="4">
    <w:lvl w:ilvl="0">
      <w:start w:val="9"/>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lvl w:ilvl="0">
      <w:start w:val="10"/>
      <w:numFmt w:val="decimal"/>
      <w:lvlText w:val="%1"/>
      <w:lvlJc w:val="left"/>
      <w:pPr>
        <w:tabs>
          <w:tab w:val="num" w:pos="0"/>
        </w:tabs>
        <w:ind w:left="390" w:hanging="390"/>
      </w:pPr>
    </w:lvl>
    <w:lvl w:ilvl="1">
      <w:start w:val="1"/>
      <w:numFmt w:val="decimal"/>
      <w:lvlText w:val="%1.%2"/>
      <w:lvlJc w:val="left"/>
      <w:pPr>
        <w:tabs>
          <w:tab w:val="num" w:pos="0"/>
        </w:tabs>
        <w:ind w:left="1241" w:hanging="390"/>
      </w:pPr>
      <w:rPr>
        <w:i w:val="false"/>
        <w:color w:val="00000A"/>
      </w:r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3273" w:hanging="72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6">
    <w:lvl w:ilvl="0">
      <w:start w:val="10"/>
      <w:numFmt w:val="decimal"/>
      <w:lvlText w:val="%1"/>
      <w:lvlJc w:val="left"/>
      <w:pPr>
        <w:tabs>
          <w:tab w:val="num" w:pos="0"/>
        </w:tabs>
        <w:ind w:left="390" w:hanging="390"/>
      </w:pPr>
    </w:lvl>
    <w:lvl w:ilvl="1">
      <w:start w:val="1"/>
      <w:numFmt w:val="decimal"/>
      <w:lvlText w:val="%1.%2"/>
      <w:lvlJc w:val="left"/>
      <w:pPr>
        <w:tabs>
          <w:tab w:val="num" w:pos="0"/>
        </w:tabs>
        <w:ind w:left="1241" w:hanging="390"/>
      </w:pPr>
      <w:rPr>
        <w:dstrike w:val="false"/>
        <w:strike w:val="false"/>
        <w:sz w:val="24"/>
        <w:i w:val="false"/>
        <w:color w:val="00000A"/>
      </w:rPr>
    </w:lvl>
    <w:lvl w:ilvl="2">
      <w:start w:val="1"/>
      <w:numFmt w:val="decimal"/>
      <w:lvlText w:val="%1.%2.%3"/>
      <w:lvlJc w:val="left"/>
      <w:pPr>
        <w:tabs>
          <w:tab w:val="num" w:pos="0"/>
        </w:tabs>
        <w:ind w:left="2422" w:hanging="720"/>
      </w:pPr>
      <w:rPr>
        <w:sz w:val="24"/>
        <w:i w:val="false"/>
        <w:color w:val="00000A"/>
      </w:rPr>
    </w:lvl>
    <w:lvl w:ilvl="3">
      <w:start w:val="1"/>
      <w:numFmt w:val="decimal"/>
      <w:lvlText w:val="%1.%2.%3.%4"/>
      <w:lvlJc w:val="left"/>
      <w:pPr>
        <w:tabs>
          <w:tab w:val="num" w:pos="0"/>
        </w:tabs>
        <w:ind w:left="3273" w:hanging="720"/>
      </w:pPr>
      <w:rPr>
        <w:sz w:val="24"/>
        <w:i w:val="false"/>
        <w:color w:val="00000A"/>
      </w:r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7">
    <w:lvl w:ilvl="0">
      <w:start w:val="11"/>
      <w:numFmt w:val="decimal"/>
      <w:lvlText w:val="%1"/>
      <w:lvlJc w:val="left"/>
      <w:pPr>
        <w:tabs>
          <w:tab w:val="num" w:pos="0"/>
        </w:tabs>
        <w:ind w:left="390" w:hanging="390"/>
      </w:pPr>
      <w:rPr>
        <w:sz w:val="22"/>
        <w:rFonts w:eastAsia="Calibri" w:cs=""/>
      </w:rPr>
    </w:lvl>
    <w:lvl w:ilvl="1">
      <w:start w:val="1"/>
      <w:numFmt w:val="decimal"/>
      <w:lvlText w:val="%1.%2"/>
      <w:lvlJc w:val="left"/>
      <w:pPr>
        <w:tabs>
          <w:tab w:val="num" w:pos="0"/>
        </w:tabs>
        <w:ind w:left="390" w:hanging="390"/>
      </w:pPr>
      <w:rPr>
        <w:sz w:val="24"/>
        <w:szCs w:val="20"/>
        <w:rFonts w:eastAsia="Calibri" w:cs="Arial"/>
      </w:rPr>
    </w:lvl>
    <w:lvl w:ilvl="2">
      <w:start w:val="1"/>
      <w:numFmt w:val="decimal"/>
      <w:lvlText w:val="%1.%2.%3"/>
      <w:lvlJc w:val="left"/>
      <w:pPr>
        <w:tabs>
          <w:tab w:val="num" w:pos="0"/>
        </w:tabs>
        <w:ind w:left="720" w:hanging="720"/>
      </w:pPr>
      <w:rPr>
        <w:sz w:val="24"/>
        <w:b w:val="false"/>
        <w:szCs w:val="20"/>
        <w:rFonts w:eastAsia="Calibri" w:cs="Arial"/>
      </w:rPr>
    </w:lvl>
    <w:lvl w:ilvl="3">
      <w:start w:val="1"/>
      <w:numFmt w:val="decimal"/>
      <w:lvlText w:val="%1.%2.%3.%4"/>
      <w:lvlJc w:val="left"/>
      <w:pPr>
        <w:tabs>
          <w:tab w:val="num" w:pos="0"/>
        </w:tabs>
        <w:ind w:left="720" w:hanging="720"/>
      </w:pPr>
      <w:rPr>
        <w:sz w:val="24"/>
        <w:szCs w:val="20"/>
        <w:rFonts w:eastAsia="Calibri" w:cs="Arial"/>
      </w:rPr>
    </w:lvl>
    <w:lvl w:ilvl="4">
      <w:start w:val="1"/>
      <w:numFmt w:val="decimal"/>
      <w:lvlText w:val="%1.%2.%3.%4.%5"/>
      <w:lvlJc w:val="left"/>
      <w:pPr>
        <w:tabs>
          <w:tab w:val="num" w:pos="0"/>
        </w:tabs>
        <w:ind w:left="1080" w:hanging="1080"/>
      </w:pPr>
      <w:rPr>
        <w:sz w:val="24"/>
        <w:i w:val="false"/>
        <w:szCs w:val="20"/>
        <w:rFonts w:eastAsia="Calibri" w:cs="Arial"/>
        <w:color w:val="00000A"/>
      </w:rPr>
    </w:lvl>
    <w:lvl w:ilvl="5">
      <w:start w:val="1"/>
      <w:numFmt w:val="decimal"/>
      <w:lvlText w:val="%1.%2.%3.%4.%5.%6"/>
      <w:lvlJc w:val="left"/>
      <w:pPr>
        <w:tabs>
          <w:tab w:val="num" w:pos="0"/>
        </w:tabs>
        <w:ind w:left="1080" w:hanging="1080"/>
      </w:pPr>
      <w:rPr>
        <w:sz w:val="22"/>
        <w:rFonts w:eastAsia="Calibri" w:cs=""/>
      </w:rPr>
    </w:lvl>
    <w:lvl w:ilvl="6">
      <w:start w:val="1"/>
      <w:numFmt w:val="decimal"/>
      <w:lvlText w:val="%1.%2.%3.%4.%5.%6.%7"/>
      <w:lvlJc w:val="left"/>
      <w:pPr>
        <w:tabs>
          <w:tab w:val="num" w:pos="0"/>
        </w:tabs>
        <w:ind w:left="1440" w:hanging="1440"/>
      </w:pPr>
      <w:rPr>
        <w:sz w:val="22"/>
        <w:rFonts w:eastAsia="Calibri" w:cs=""/>
      </w:rPr>
    </w:lvl>
    <w:lvl w:ilvl="7">
      <w:start w:val="1"/>
      <w:numFmt w:val="decimal"/>
      <w:lvlText w:val="%1.%2.%3.%4.%5.%6.%7.%8"/>
      <w:lvlJc w:val="left"/>
      <w:pPr>
        <w:tabs>
          <w:tab w:val="num" w:pos="0"/>
        </w:tabs>
        <w:ind w:left="1440" w:hanging="1440"/>
      </w:pPr>
      <w:rPr>
        <w:sz w:val="22"/>
        <w:rFonts w:eastAsia="Calibri" w:cs=""/>
      </w:rPr>
    </w:lvl>
    <w:lvl w:ilvl="8">
      <w:start w:val="1"/>
      <w:numFmt w:val="decimal"/>
      <w:lvlText w:val="%1.%2.%3.%4.%5.%6.%7.%8.%9"/>
      <w:lvlJc w:val="left"/>
      <w:pPr>
        <w:tabs>
          <w:tab w:val="num" w:pos="0"/>
        </w:tabs>
        <w:ind w:left="1800" w:hanging="1800"/>
      </w:pPr>
      <w:rPr>
        <w:sz w:val="22"/>
        <w:rFonts w:eastAsia="Calibri" w:cs=""/>
      </w:rPr>
    </w:lvl>
  </w:abstractNum>
  <w:abstractNum w:abstractNumId="8">
    <w:lvl w:ilvl="0">
      <w:start w:val="4"/>
      <w:numFmt w:val="decimal"/>
      <w:lvlText w:val="%1"/>
      <w:lvlJc w:val="left"/>
      <w:pPr>
        <w:tabs>
          <w:tab w:val="num" w:pos="0"/>
        </w:tabs>
        <w:ind w:left="450" w:hanging="450"/>
      </w:pPr>
    </w:lvl>
    <w:lvl w:ilvl="1">
      <w:start w:val="1"/>
      <w:numFmt w:val="decimal"/>
      <w:lvlText w:val="%1.%2"/>
      <w:lvlJc w:val="left"/>
      <w:pPr>
        <w:tabs>
          <w:tab w:val="num" w:pos="0"/>
        </w:tabs>
        <w:ind w:left="663" w:hanging="450"/>
      </w:pPr>
    </w:lvl>
    <w:lvl w:ilvl="2">
      <w:start w:val="1"/>
      <w:numFmt w:val="lowerLetter"/>
      <w:lvlText w:val="%3)"/>
      <w:lvlJc w:val="left"/>
      <w:pPr>
        <w:tabs>
          <w:tab w:val="num" w:pos="0"/>
        </w:tabs>
        <w:ind w:left="1146" w:hanging="720"/>
      </w:pPr>
      <w:rPr>
        <w:sz w:val="24"/>
        <w:i w:val="false"/>
        <w:color w:val="00000A"/>
      </w:rPr>
    </w:lvl>
    <w:lvl w:ilvl="3">
      <w:start w:val="1"/>
      <w:numFmt w:val="decimal"/>
      <w:lvlText w:val="%1.%2.%3.%4"/>
      <w:lvlJc w:val="left"/>
      <w:pPr>
        <w:tabs>
          <w:tab w:val="num" w:pos="0"/>
        </w:tabs>
        <w:ind w:left="1359" w:hanging="720"/>
      </w:pPr>
      <w:rPr>
        <w:i w:val="false"/>
      </w:rPr>
    </w:lvl>
    <w:lvl w:ilvl="4">
      <w:start w:val="1"/>
      <w:numFmt w:val="decimal"/>
      <w:lvlText w:val="%1.%2.%3.%4.%5"/>
      <w:lvlJc w:val="left"/>
      <w:pPr>
        <w:tabs>
          <w:tab w:val="num" w:pos="0"/>
        </w:tabs>
        <w:ind w:left="1932" w:hanging="1080"/>
      </w:pPr>
    </w:lvl>
    <w:lvl w:ilvl="5">
      <w:start w:val="1"/>
      <w:numFmt w:val="decimal"/>
      <w:lvlText w:val="%1.%2.%3.%4.%5.%6"/>
      <w:lvlJc w:val="left"/>
      <w:pPr>
        <w:tabs>
          <w:tab w:val="num" w:pos="0"/>
        </w:tabs>
        <w:ind w:left="2145" w:hanging="1080"/>
      </w:pPr>
    </w:lvl>
    <w:lvl w:ilvl="6">
      <w:start w:val="1"/>
      <w:numFmt w:val="decimal"/>
      <w:lvlText w:val="%1.%2.%3.%4.%5.%6.%7"/>
      <w:lvlJc w:val="left"/>
      <w:pPr>
        <w:tabs>
          <w:tab w:val="num" w:pos="0"/>
        </w:tabs>
        <w:ind w:left="2718" w:hanging="1440"/>
      </w:pPr>
    </w:lvl>
    <w:lvl w:ilvl="7">
      <w:start w:val="1"/>
      <w:numFmt w:val="decimal"/>
      <w:lvlText w:val="%1.%2.%3.%4.%5.%6.%7.%8"/>
      <w:lvlJc w:val="left"/>
      <w:pPr>
        <w:tabs>
          <w:tab w:val="num" w:pos="0"/>
        </w:tabs>
        <w:ind w:left="2931" w:hanging="1440"/>
      </w:pPr>
    </w:lvl>
    <w:lvl w:ilvl="8">
      <w:start w:val="1"/>
      <w:numFmt w:val="decimal"/>
      <w:lvlText w:val="%1.%2.%3.%4.%5.%6.%7.%8.%9"/>
      <w:lvlJc w:val="left"/>
      <w:pPr>
        <w:tabs>
          <w:tab w:val="num" w:pos="0"/>
        </w:tabs>
        <w:ind w:left="3504" w:hanging="1800"/>
      </w:pPr>
    </w:lvl>
  </w:abstractNum>
  <w:abstractNum w:abstractNumId="9">
    <w:lvl w:ilvl="0">
      <w:start w:val="1"/>
      <w:numFmt w:val="decimal"/>
      <w:lvlText w:val="%1."/>
      <w:lvlJc w:val="left"/>
      <w:pPr>
        <w:tabs>
          <w:tab w:val="num" w:pos="0"/>
        </w:tabs>
        <w:ind w:left="360" w:hanging="360"/>
      </w:pPr>
      <w:rPr>
        <w:i w:val="false"/>
        <w:b/>
        <w:color w:val="2F5496"/>
      </w:rPr>
    </w:lvl>
    <w:lvl w:ilvl="1">
      <w:start w:val="1"/>
      <w:numFmt w:val="decimal"/>
      <w:suff w:val="space"/>
      <w:lvlText w:val="%1.%2."/>
      <w:lvlJc w:val="left"/>
      <w:pPr>
        <w:tabs>
          <w:tab w:val="num" w:pos="0"/>
        </w:tabs>
        <w:ind w:left="0" w:hanging="0"/>
      </w:pPr>
      <w:rPr>
        <w:dstrike w:val="false"/>
        <w:strike w:val="false"/>
        <w:sz w:val="20"/>
        <w:i w:val="false"/>
        <w:b w:val="false"/>
        <w:szCs w:val="20"/>
        <w:rFonts w:cs="Arial"/>
        <w:color w:val="00000A"/>
      </w:rPr>
    </w:lvl>
    <w:lvl w:ilvl="2">
      <w:start w:val="1"/>
      <w:numFmt w:val="decimal"/>
      <w:suff w:val="space"/>
      <w:lvlText w:val="%1.%2.%3."/>
      <w:lvlJc w:val="left"/>
      <w:pPr>
        <w:tabs>
          <w:tab w:val="num" w:pos="0"/>
        </w:tabs>
        <w:ind w:left="1418" w:hanging="0"/>
      </w:pPr>
      <w:rPr>
        <w:i w:val="false"/>
        <w:b w:val="false"/>
        <w:color w:val="00000A"/>
      </w:rPr>
    </w:lvl>
    <w:lvl w:ilvl="3">
      <w:start w:val="1"/>
      <w:numFmt w:val="decimal"/>
      <w:suff w:val="space"/>
      <w:lvlText w:val="%1.%2.%3.%4."/>
      <w:lvlJc w:val="left"/>
      <w:pPr>
        <w:tabs>
          <w:tab w:val="num" w:pos="0"/>
        </w:tabs>
        <w:ind w:left="1702" w:hanging="0"/>
      </w:pPr>
      <w:rPr>
        <w:i w:val="false"/>
        <w:b w:val="false"/>
        <w:bCs/>
        <w:color w:val="00000A"/>
      </w:rPr>
    </w:lvl>
    <w:lvl w:ilvl="4">
      <w:start w:val="1"/>
      <w:numFmt w:val="decimal"/>
      <w:suff w:val="space"/>
      <w:lvlText w:val="%1.%2.%3.%4.%5."/>
      <w:lvlJc w:val="left"/>
      <w:pPr>
        <w:tabs>
          <w:tab w:val="num" w:pos="0"/>
        </w:tabs>
        <w:ind w:left="1134" w:hanging="0"/>
      </w:pPr>
      <w:rPr>
        <w:i w:val="false"/>
        <w:b w:val="false"/>
        <w:color w:val="00000A"/>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c6713"/>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00000A"/>
      <w:kern w:val="0"/>
      <w:sz w:val="22"/>
      <w:szCs w:val="22"/>
      <w:lang w:val="pt-BR" w:eastAsia="en-US" w:bidi="ar-SA"/>
    </w:rPr>
  </w:style>
  <w:style w:type="paragraph" w:styleId="Ttulo1">
    <w:name w:val="Heading 1"/>
    <w:basedOn w:val="Normal"/>
    <w:next w:val="Normal"/>
    <w:link w:val="Ttulo1Char"/>
    <w:uiPriority w:val="9"/>
    <w:qFormat/>
    <w:rsid w:val="00d96ec9"/>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tulo3">
    <w:name w:val="Heading 3"/>
    <w:basedOn w:val="Normal"/>
    <w:next w:val="Normal"/>
    <w:qFormat/>
    <w:pPr>
      <w:keepNext w:val="true"/>
      <w:keepLines/>
      <w:spacing w:lineRule="auto" w:line="259" w:before="40" w:after="0"/>
      <w:outlineLvl w:val="2"/>
    </w:pPr>
    <w:rPr>
      <w:rFonts w:ascii="Calibri Light" w:hAnsi="Calibri Light" w:eastAsia="" w:cs="" w:asciiTheme="majorHAnsi" w:cstheme="majorBidi" w:eastAsiaTheme="majorEastAsia" w:hAnsiTheme="majorHAnsi"/>
      <w:color w:val="243F60" w:themeColor="accent1" w:themeShade="7f"/>
      <w:lang w:eastAsia="en-US"/>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link w:val="Cabealho"/>
    <w:uiPriority w:val="99"/>
    <w:qFormat/>
    <w:rsid w:val="00397ef2"/>
    <w:rPr/>
  </w:style>
  <w:style w:type="character" w:styleId="RodapChar" w:customStyle="1">
    <w:name w:val="Rodapé Char"/>
    <w:basedOn w:val="DefaultParagraphFont"/>
    <w:link w:val="Rodap"/>
    <w:uiPriority w:val="99"/>
    <w:qFormat/>
    <w:rsid w:val="00397ef2"/>
    <w:rPr/>
  </w:style>
  <w:style w:type="character" w:styleId="GradeColoridanfase1Char" w:customStyle="1">
    <w:name w:val="Grade Colorida - Ênfase 1 Char"/>
    <w:link w:val="GradeColorida-nfase11"/>
    <w:uiPriority w:val="29"/>
    <w:qFormat/>
    <w:rsid w:val="00d96ec9"/>
    <w:rPr>
      <w:rFonts w:ascii="Arial" w:hAnsi="Arial" w:eastAsia="Calibri" w:cs="Times New Roman"/>
      <w:i/>
      <w:iCs/>
      <w:color w:val="000000"/>
      <w:sz w:val="20"/>
      <w:szCs w:val="24"/>
      <w:shd w:fill="FFFFCC" w:val="clear"/>
      <w:lang w:val="x-none"/>
    </w:rPr>
  </w:style>
  <w:style w:type="character" w:styleId="Nivel01TituloChar" w:customStyle="1">
    <w:name w:val="Nivel_01_Titulo Char"/>
    <w:basedOn w:val="Ttulo1Char"/>
    <w:link w:val="Nivel01Titulo"/>
    <w:qFormat/>
    <w:rsid w:val="00d96ec9"/>
    <w:rPr>
      <w:rFonts w:ascii="Arial" w:hAnsi="Arial" w:eastAsia="" w:cs="Times New Roman" w:eastAsiaTheme="majorEastAsia"/>
      <w:b/>
      <w:bCs/>
      <w:color w:val="2F5496" w:themeColor="accent1" w:themeShade="bf"/>
      <w:sz w:val="20"/>
      <w:szCs w:val="20"/>
      <w:lang w:eastAsia="pt-BR"/>
    </w:rPr>
  </w:style>
  <w:style w:type="character" w:styleId="Ttulo1Char" w:customStyle="1">
    <w:name w:val="Título 1 Char"/>
    <w:basedOn w:val="DefaultParagraphFont"/>
    <w:link w:val="Ttulo1"/>
    <w:uiPriority w:val="9"/>
    <w:qFormat/>
    <w:rsid w:val="00d96ec9"/>
    <w:rPr>
      <w:rFonts w:ascii="Calibri Light" w:hAnsi="Calibri Light" w:eastAsia="" w:cs="" w:asciiTheme="majorHAnsi" w:cstheme="majorBidi" w:eastAsiaTheme="majorEastAsia" w:hAnsiTheme="majorHAnsi"/>
      <w:color w:val="2F5496" w:themeColor="accent1" w:themeShade="bf"/>
      <w:sz w:val="32"/>
      <w:szCs w:val="32"/>
    </w:rPr>
  </w:style>
  <w:style w:type="character" w:styleId="TextodecomentrioChar" w:customStyle="1">
    <w:name w:val="Texto de comentário Char"/>
    <w:basedOn w:val="DefaultParagraphFont"/>
    <w:link w:val="Textodecomentrio"/>
    <w:uiPriority w:val="99"/>
    <w:qFormat/>
    <w:rsid w:val="006e7af1"/>
    <w:rPr>
      <w:sz w:val="20"/>
      <w:szCs w:val="20"/>
    </w:rPr>
  </w:style>
  <w:style w:type="character" w:styleId="CitaoChar" w:customStyle="1">
    <w:name w:val="Citação Char"/>
    <w:basedOn w:val="DefaultParagraphFont"/>
    <w:link w:val="Citao"/>
    <w:qFormat/>
    <w:rsid w:val="006e7af1"/>
    <w:rPr>
      <w:rFonts w:ascii="Ecofont_Spranq_eco_Sans" w:hAnsi="Ecofont_Spranq_eco_Sans" w:eastAsia="Calibri" w:cs="Tahoma"/>
      <w:i/>
      <w:iCs/>
      <w:color w:val="000000"/>
      <w:sz w:val="20"/>
      <w:szCs w:val="24"/>
      <w:shd w:fill="FFFFCC" w:val="clear"/>
    </w:rPr>
  </w:style>
  <w:style w:type="character" w:styleId="Annotationreference">
    <w:name w:val="annotation reference"/>
    <w:basedOn w:val="DefaultParagraphFont"/>
    <w:uiPriority w:val="99"/>
    <w:unhideWhenUsed/>
    <w:qFormat/>
    <w:rsid w:val="006e7af1"/>
    <w:rPr>
      <w:sz w:val="16"/>
      <w:szCs w:val="16"/>
    </w:rPr>
  </w:style>
  <w:style w:type="character" w:styleId="Citao2Char" w:customStyle="1">
    <w:name w:val="citação 2 Char"/>
    <w:basedOn w:val="CitaoChar"/>
    <w:link w:val="citao2"/>
    <w:qFormat/>
    <w:rsid w:val="00791789"/>
    <w:rPr>
      <w:rFonts w:ascii="Arial" w:hAnsi="Arial" w:eastAsia="Calibri" w:cs="Tahoma"/>
      <w:i/>
      <w:iCs/>
      <w:color w:val="000000"/>
      <w:sz w:val="20"/>
      <w:szCs w:val="20"/>
      <w:shd w:fill="FFFFCC" w:val="clear"/>
    </w:rPr>
  </w:style>
  <w:style w:type="character" w:styleId="Nivel1Char" w:customStyle="1">
    <w:name w:val="Nivel1 Char"/>
    <w:basedOn w:val="DefaultParagraphFont"/>
    <w:link w:val="Nivel1"/>
    <w:qFormat/>
    <w:locked/>
    <w:rsid w:val="00192fa4"/>
    <w:rPr>
      <w:rFonts w:ascii="Arial" w:hAnsi="Arial" w:eastAsia="" w:cs="Arial" w:eastAsiaTheme="majorEastAsia"/>
      <w:b/>
      <w:color w:val="000000"/>
      <w:sz w:val="32"/>
      <w:szCs w:val="32"/>
    </w:rPr>
  </w:style>
  <w:style w:type="character" w:styleId="Nivel2Char" w:customStyle="1">
    <w:name w:val="Nivel 2 Char"/>
    <w:basedOn w:val="DefaultParagraphFont"/>
    <w:link w:val="Nivel2"/>
    <w:qFormat/>
    <w:locked/>
    <w:rsid w:val="00192fa4"/>
    <w:rPr>
      <w:rFonts w:ascii="Ecofont_Spranq_eco_Sans" w:hAnsi="Ecofont_Spranq_eco_Sans" w:eastAsia="Arial Unicode MS" w:cs="Times New Roman"/>
      <w:sz w:val="20"/>
      <w:szCs w:val="20"/>
      <w:lang w:eastAsia="pt-BR"/>
    </w:rPr>
  </w:style>
  <w:style w:type="character" w:styleId="AssuntodocomentrioChar" w:customStyle="1">
    <w:name w:val="Assunto do comentário Char"/>
    <w:basedOn w:val="TextodecomentrioChar"/>
    <w:link w:val="Assuntodocomentrio"/>
    <w:uiPriority w:val="99"/>
    <w:semiHidden/>
    <w:qFormat/>
    <w:rsid w:val="00fc5048"/>
    <w:rPr>
      <w:b/>
      <w:bCs/>
      <w:sz w:val="20"/>
      <w:szCs w:val="20"/>
    </w:rPr>
  </w:style>
  <w:style w:type="character" w:styleId="LinkdaInternet">
    <w:name w:val="Link da Internet"/>
    <w:basedOn w:val="DefaultParagraphFont"/>
    <w:uiPriority w:val="99"/>
    <w:unhideWhenUsed/>
    <w:rsid w:val="004b3e88"/>
    <w:rPr>
      <w:color w:val="0563C1" w:themeColor="hyperlink"/>
      <w:u w:val="single"/>
    </w:rPr>
  </w:style>
  <w:style w:type="character" w:styleId="MenoPendente1" w:customStyle="1">
    <w:name w:val="Menção Pendente1"/>
    <w:basedOn w:val="DefaultParagraphFont"/>
    <w:uiPriority w:val="99"/>
    <w:semiHidden/>
    <w:unhideWhenUsed/>
    <w:qFormat/>
    <w:rsid w:val="004b3e88"/>
    <w:rPr>
      <w:color w:val="605E5C"/>
      <w:shd w:fill="E1DFDD" w:val="clear"/>
    </w:rPr>
  </w:style>
  <w:style w:type="character" w:styleId="TextodebaloChar" w:customStyle="1">
    <w:name w:val="Texto de balão Char"/>
    <w:basedOn w:val="DefaultParagraphFont"/>
    <w:link w:val="Textodebalo"/>
    <w:uiPriority w:val="99"/>
    <w:semiHidden/>
    <w:qFormat/>
    <w:rsid w:val="007d1c84"/>
    <w:rPr>
      <w:rFonts w:ascii="Segoe UI" w:hAnsi="Segoe UI" w:cs="Segoe UI"/>
      <w:sz w:val="18"/>
      <w:szCs w:val="18"/>
    </w:rPr>
  </w:style>
  <w:style w:type="character" w:styleId="Nvel2OpcionalChar" w:customStyle="1">
    <w:name w:val="Nível 2 Opcional Char"/>
    <w:basedOn w:val="DefaultParagraphFont"/>
    <w:link w:val="Nvel2Opcional"/>
    <w:qFormat/>
    <w:locked/>
    <w:rsid w:val="00921e42"/>
    <w:rPr>
      <w:rFonts w:ascii="Arial" w:hAnsi="Arial" w:cs="Arial"/>
      <w:i/>
      <w:color w:val="FF0000"/>
    </w:rPr>
  </w:style>
  <w:style w:type="character" w:styleId="Nvel3OpcionalChar" w:customStyle="1">
    <w:name w:val="Nível 3 Opcional Char"/>
    <w:basedOn w:val="DefaultParagraphFont"/>
    <w:link w:val="Nvel3Opcional"/>
    <w:qFormat/>
    <w:locked/>
    <w:rsid w:val="00921e42"/>
    <w:rPr>
      <w:rFonts w:ascii="Arial" w:hAnsi="Arial" w:cs="Arial"/>
      <w:i/>
      <w:iCs/>
      <w:color w:val="FF0000"/>
    </w:rPr>
  </w:style>
  <w:style w:type="character" w:styleId="Normaltextrun" w:customStyle="1">
    <w:name w:val="normaltextrun"/>
    <w:basedOn w:val="DefaultParagraphFont"/>
    <w:qFormat/>
    <w:rsid w:val="00a14dc4"/>
    <w:rPr/>
  </w:style>
  <w:style w:type="character" w:styleId="Eop" w:customStyle="1">
    <w:name w:val="eop"/>
    <w:basedOn w:val="DefaultParagraphFont"/>
    <w:qFormat/>
    <w:rsid w:val="00a14dc4"/>
    <w:rPr/>
  </w:style>
  <w:style w:type="character" w:styleId="Linkdainternetvisitado">
    <w:name w:val="Link da internet visitado"/>
    <w:basedOn w:val="DefaultParagraphFont"/>
    <w:rPr>
      <w:color w:val="800080" w:themeColor="followedHyperlink"/>
      <w:u w:val="single"/>
    </w:rPr>
  </w:style>
  <w:style w:type="character" w:styleId="Smbolosdenumerao">
    <w:name w:val="Símbolos de numeraç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uiPriority w:val="34"/>
    <w:qFormat/>
    <w:rsid w:val="009b32a8"/>
    <w:pPr>
      <w:spacing w:before="0" w:after="16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397ef2"/>
    <w:pPr>
      <w:tabs>
        <w:tab w:val="clear" w:pos="708"/>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397ef2"/>
    <w:pPr>
      <w:tabs>
        <w:tab w:val="clear" w:pos="708"/>
        <w:tab w:val="center" w:pos="4252" w:leader="none"/>
        <w:tab w:val="right" w:pos="8504" w:leader="none"/>
      </w:tabs>
      <w:spacing w:lineRule="auto" w:line="240" w:before="0" w:after="0"/>
    </w:pPr>
    <w:rPr/>
  </w:style>
  <w:style w:type="paragraph" w:styleId="GradeColoridanfase11" w:customStyle="1">
    <w:name w:val="Grade Colorida - Ênfase 11"/>
    <w:basedOn w:val="Normal"/>
    <w:next w:val="Normal"/>
    <w:link w:val="GradeColorida-nfase1Char"/>
    <w:uiPriority w:val="29"/>
    <w:qFormat/>
    <w:rsid w:val="00d96ec9"/>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imes New Roman"/>
      <w:i/>
      <w:iCs/>
      <w:color w:val="000000"/>
      <w:sz w:val="20"/>
      <w:szCs w:val="24"/>
      <w:lang w:val="x-none"/>
    </w:rPr>
  </w:style>
  <w:style w:type="paragraph" w:styleId="Nivel01Titulo" w:customStyle="1">
    <w:name w:val="Nivel_01_Titulo"/>
    <w:basedOn w:val="Ttulo1"/>
    <w:next w:val="Normal"/>
    <w:link w:val="Nivel01TituloChar"/>
    <w:qFormat/>
    <w:rsid w:val="00d96ec9"/>
    <w:pPr>
      <w:tabs>
        <w:tab w:val="clear" w:pos="708"/>
        <w:tab w:val="left" w:pos="567" w:leader="none"/>
      </w:tabs>
      <w:spacing w:lineRule="auto" w:line="240"/>
      <w:jc w:val="both"/>
    </w:pPr>
    <w:rPr>
      <w:rFonts w:ascii="Arial" w:hAnsi="Arial" w:cs="Times New Roman"/>
      <w:b/>
      <w:bCs/>
      <w:sz w:val="20"/>
      <w:szCs w:val="20"/>
      <w:lang w:eastAsia="pt-BR"/>
    </w:rPr>
  </w:style>
  <w:style w:type="paragraph" w:styleId="Nivel1" w:customStyle="1">
    <w:name w:val="Nivel1"/>
    <w:basedOn w:val="Ttulo1"/>
    <w:next w:val="Normal"/>
    <w:link w:val="Nivel1Char"/>
    <w:qFormat/>
    <w:rsid w:val="00bd3081"/>
    <w:pPr>
      <w:spacing w:lineRule="auto" w:line="276" w:before="480" w:after="120"/>
      <w:jc w:val="both"/>
    </w:pPr>
    <w:rPr>
      <w:rFonts w:ascii="Arial" w:hAnsi="Arial" w:cs="Arial"/>
      <w:b/>
      <w:color w:val="000000"/>
    </w:rPr>
  </w:style>
  <w:style w:type="paragraph" w:styleId="Annotationtext">
    <w:name w:val="annotation text"/>
    <w:basedOn w:val="Normal"/>
    <w:link w:val="TextodecomentrioChar"/>
    <w:uiPriority w:val="99"/>
    <w:unhideWhenUsed/>
    <w:qFormat/>
    <w:rsid w:val="006e7af1"/>
    <w:pPr>
      <w:spacing w:lineRule="auto" w:line="240"/>
    </w:pPr>
    <w:rPr>
      <w:sz w:val="20"/>
      <w:szCs w:val="20"/>
    </w:rPr>
  </w:style>
  <w:style w:type="paragraph" w:styleId="Quote">
    <w:name w:val="Quote"/>
    <w:basedOn w:val="Normal"/>
    <w:link w:val="CitaoChar"/>
    <w:qFormat/>
    <w:rsid w:val="006e7af1"/>
    <w:pPr>
      <w:keepNext w:val="true"/>
      <w:pBdr>
        <w:top w:val="single" w:sz="4" w:space="0" w:color="1F497D"/>
        <w:left w:val="single" w:sz="4" w:space="0" w:color="1F497D"/>
        <w:bottom w:val="single" w:sz="4" w:space="0" w:color="1F497D"/>
        <w:right w:val="single" w:sz="4" w:space="0" w:color="1F497D"/>
      </w:pBdr>
      <w:shd w:val="clear" w:color="auto" w:fill="FFFFCC"/>
      <w:tabs>
        <w:tab w:val="left" w:pos="708" w:leader="none"/>
      </w:tabs>
      <w:suppressAutoHyphens w:val="true"/>
      <w:overflowPunct w:val="true"/>
      <w:spacing w:lineRule="auto" w:line="240" w:before="120" w:after="0"/>
      <w:jc w:val="both"/>
    </w:pPr>
    <w:rPr>
      <w:rFonts w:ascii="Ecofont_Spranq_eco_Sans" w:hAnsi="Ecofont_Spranq_eco_Sans" w:eastAsia="Calibri" w:cs="Tahoma"/>
      <w:i/>
      <w:iCs/>
      <w:color w:val="000000"/>
      <w:sz w:val="20"/>
      <w:szCs w:val="24"/>
    </w:rPr>
  </w:style>
  <w:style w:type="paragraph" w:styleId="Citao2" w:customStyle="1">
    <w:name w:val="citação 2"/>
    <w:basedOn w:val="Quote"/>
    <w:link w:val="citao2Char"/>
    <w:qFormat/>
    <w:rsid w:val="00791789"/>
    <w:pPr>
      <w:keepNext w:val="false"/>
      <w:pBdr>
        <w:top w:val="single" w:sz="4" w:space="1" w:color="1F497D"/>
        <w:left w:val="single" w:sz="4" w:space="4" w:color="1F497D"/>
        <w:bottom w:val="single" w:sz="4" w:space="1" w:color="1F497D"/>
        <w:right w:val="single" w:sz="4" w:space="4" w:color="1F497D"/>
      </w:pBdr>
      <w:shd w:val="clear" w:fill="FFFFCC"/>
      <w:suppressAutoHyphens w:val="false"/>
      <w:overflowPunct w:val="false"/>
    </w:pPr>
    <w:rPr>
      <w:rFonts w:ascii="Arial" w:hAnsi="Arial"/>
      <w:szCs w:val="20"/>
    </w:rPr>
  </w:style>
  <w:style w:type="paragraph" w:styleId="PargrafodaLista1" w:customStyle="1">
    <w:name w:val="Parágrafo da Lista1"/>
    <w:basedOn w:val="Normal"/>
    <w:qFormat/>
    <w:rsid w:val="00192fa4"/>
    <w:pPr>
      <w:spacing w:lineRule="auto" w:line="240" w:before="0" w:after="0"/>
      <w:ind w:left="720" w:hanging="0"/>
    </w:pPr>
    <w:rPr>
      <w:rFonts w:ascii="Ecofont_Spranq_eco_Sans" w:hAnsi="Ecofont_Spranq_eco_Sans" w:eastAsia="Times New Roman" w:cs="Ecofont_Spranq_eco_Sans"/>
      <w:sz w:val="24"/>
      <w:szCs w:val="24"/>
      <w:lang w:eastAsia="pt-BR"/>
    </w:rPr>
  </w:style>
  <w:style w:type="paragraph" w:styleId="Nivel2" w:customStyle="1">
    <w:name w:val="Nivel 2"/>
    <w:link w:val="Nivel2Char"/>
    <w:qFormat/>
    <w:rsid w:val="00192fa4"/>
    <w:pPr>
      <w:widowControl/>
      <w:suppressAutoHyphens w:val="true"/>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192fa4"/>
    <w:pPr>
      <w:tabs>
        <w:tab w:val="clear" w:pos="708"/>
        <w:tab w:val="left" w:pos="360" w:leader="none"/>
      </w:tabs>
      <w:ind w:left="644" w:hanging="432"/>
    </w:pPr>
    <w:rPr>
      <w:rFonts w:cs="Arial"/>
      <w:b/>
    </w:rPr>
  </w:style>
  <w:style w:type="paragraph" w:styleId="Nivel3" w:customStyle="1">
    <w:name w:val="Nivel 3"/>
    <w:basedOn w:val="Nivel2"/>
    <w:qFormat/>
    <w:rsid w:val="00192fa4"/>
    <w:pPr>
      <w:tabs>
        <w:tab w:val="clear" w:pos="708"/>
        <w:tab w:val="left" w:pos="360" w:leader="none"/>
      </w:tabs>
      <w:ind w:left="1922" w:hanging="0"/>
    </w:pPr>
    <w:rPr>
      <w:rFonts w:cs="Arial"/>
      <w:color w:val="000000"/>
    </w:rPr>
  </w:style>
  <w:style w:type="paragraph" w:styleId="Nivel4" w:customStyle="1">
    <w:name w:val="Nivel 4"/>
    <w:basedOn w:val="Nivel3"/>
    <w:qFormat/>
    <w:rsid w:val="00192fa4"/>
    <w:pPr>
      <w:ind w:left="2491" w:hanging="0"/>
    </w:pPr>
    <w:rPr>
      <w:color w:val="00000A"/>
    </w:rPr>
  </w:style>
  <w:style w:type="paragraph" w:styleId="Nivel5" w:customStyle="1">
    <w:name w:val="Nivel 5"/>
    <w:basedOn w:val="Nivel4"/>
    <w:qFormat/>
    <w:rsid w:val="00192fa4"/>
    <w:pPr>
      <w:ind w:left="3485" w:hanging="0"/>
    </w:pPr>
    <w:rPr/>
  </w:style>
  <w:style w:type="paragraph" w:styleId="Annotationsubject">
    <w:name w:val="annotation subject"/>
    <w:basedOn w:val="Annotationtext"/>
    <w:link w:val="AssuntodocomentrioChar"/>
    <w:uiPriority w:val="99"/>
    <w:semiHidden/>
    <w:unhideWhenUsed/>
    <w:qFormat/>
    <w:rsid w:val="00fc5048"/>
    <w:pPr/>
    <w:rPr>
      <w:b/>
      <w:bCs/>
    </w:rPr>
  </w:style>
  <w:style w:type="paragraph" w:styleId="BalloonText">
    <w:name w:val="Balloon Text"/>
    <w:basedOn w:val="Normal"/>
    <w:link w:val="TextodebaloChar"/>
    <w:uiPriority w:val="99"/>
    <w:semiHidden/>
    <w:unhideWhenUsed/>
    <w:qFormat/>
    <w:rsid w:val="007d1c84"/>
    <w:pPr>
      <w:spacing w:lineRule="auto" w:line="240" w:before="0" w:after="0"/>
    </w:pPr>
    <w:rPr>
      <w:rFonts w:ascii="Segoe UI" w:hAnsi="Segoe UI" w:cs="Segoe UI"/>
      <w:sz w:val="18"/>
      <w:szCs w:val="18"/>
    </w:rPr>
  </w:style>
  <w:style w:type="paragraph" w:styleId="SombreamentoMdio1nfase31" w:customStyle="1">
    <w:name w:val="Sombreamento Médio 1 - Ênfase 31"/>
    <w:basedOn w:val="Normal"/>
    <w:next w:val="Normal"/>
    <w:qFormat/>
    <w:rsid w:val="00921e42"/>
    <w:pPr>
      <w:pBdr>
        <w:top w:val="single" w:sz="4" w:space="1" w:color="000080"/>
        <w:left w:val="single" w:sz="4" w:space="4" w:color="000080"/>
        <w:bottom w:val="single" w:sz="4" w:space="1" w:color="000080"/>
        <w:right w:val="single" w:sz="4" w:space="4" w:color="000080"/>
      </w:pBdr>
      <w:shd w:val="clear" w:color="auto" w:fill="FFFFCC"/>
      <w:suppressAutoHyphens w:val="true"/>
      <w:spacing w:lineRule="auto" w:line="240" w:before="120" w:after="0"/>
      <w:jc w:val="both"/>
    </w:pPr>
    <w:rPr>
      <w:rFonts w:ascii="Ecofont_Spranq_eco_Sans" w:hAnsi="Ecofont_Spranq_eco_Sans" w:eastAsia="Calibri" w:cs="Tahoma"/>
      <w:i/>
      <w:iCs/>
      <w:color w:val="000000"/>
      <w:sz w:val="20"/>
      <w:szCs w:val="24"/>
      <w:lang w:eastAsia="zh-CN"/>
    </w:rPr>
  </w:style>
  <w:style w:type="paragraph" w:styleId="Nvel2Opcional" w:customStyle="1">
    <w:name w:val="Nível 2 Opcional"/>
    <w:basedOn w:val="Nivel2"/>
    <w:link w:val="Nvel2OpcionalChar"/>
    <w:qFormat/>
    <w:rsid w:val="00921e42"/>
    <w:pPr/>
    <w:rPr>
      <w:rFonts w:ascii="Arial" w:hAnsi="Arial" w:eastAsia="Calibri" w:cs="Arial" w:eastAsiaTheme="minorHAnsi"/>
      <w:i/>
      <w:color w:val="FF0000"/>
      <w:sz w:val="22"/>
      <w:szCs w:val="22"/>
      <w:lang w:eastAsia="en-US"/>
    </w:rPr>
  </w:style>
  <w:style w:type="paragraph" w:styleId="Nvel3Opcional" w:customStyle="1">
    <w:name w:val="Nível 3 Opcional"/>
    <w:basedOn w:val="Nivel3"/>
    <w:link w:val="Nvel3OpcionalChar"/>
    <w:qFormat/>
    <w:rsid w:val="00921e42"/>
    <w:pPr/>
    <w:rPr>
      <w:rFonts w:ascii="Arial" w:hAnsi="Arial" w:eastAsia="Calibri" w:eastAsiaTheme="minorHAnsi"/>
      <w:i/>
      <w:iCs/>
      <w:color w:val="FF0000"/>
      <w:sz w:val="22"/>
      <w:szCs w:val="22"/>
      <w:lang w:eastAsia="en-US"/>
    </w:rPr>
  </w:style>
  <w:style w:type="paragraph" w:styleId="Nivel4opcional" w:customStyle="1">
    <w:name w:val="Nivel 4 - opcional"/>
    <w:basedOn w:val="Nivel4"/>
    <w:autoRedefine/>
    <w:qFormat/>
    <w:rsid w:val="00b913b7"/>
    <w:pPr>
      <w:tabs>
        <w:tab w:val="left" w:pos="360" w:leader="none"/>
        <w:tab w:val="left" w:pos="709" w:leader="none"/>
        <w:tab w:val="left" w:pos="1134" w:leader="none"/>
      </w:tabs>
      <w:ind w:left="284" w:hanging="0"/>
    </w:pPr>
    <w:rPr>
      <w:rFonts w:ascii="Arial" w:hAnsi="Arial"/>
      <w:i/>
      <w:iCs/>
      <w:color w:val="FF0000"/>
    </w:rPr>
  </w:style>
  <w:style w:type="paragraph" w:styleId="Revision">
    <w:name w:val="Revision"/>
    <w:uiPriority w:val="99"/>
    <w:semiHidden/>
    <w:qFormat/>
    <w:rsid w:val="00aa255c"/>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00000A"/>
      <w:kern w:val="0"/>
      <w:sz w:val="22"/>
      <w:szCs w:val="22"/>
      <w:lang w:val="pt-BR" w:eastAsia="en-US" w:bidi="ar-SA"/>
    </w:rPr>
  </w:style>
  <w:style w:type="paragraph" w:styleId="Paragraph" w:customStyle="1">
    <w:name w:val="paragraph"/>
    <w:basedOn w:val="Normal"/>
    <w:qFormat/>
    <w:rsid w:val="00a14dc4"/>
    <w:pPr>
      <w:spacing w:lineRule="auto" w:line="240" w:beforeAutospacing="1" w:afterAutospacing="1"/>
    </w:pPr>
    <w:rPr>
      <w:rFonts w:ascii="Times New Roman" w:hAnsi="Times New Roman" w:eastAsia="Times New Roman" w:cs="Times New Roman"/>
      <w:sz w:val="24"/>
      <w:szCs w:val="24"/>
      <w:lang w:eastAsia="pt-BR"/>
    </w:rPr>
  </w:style>
  <w:style w:type="paragraph" w:styleId="Standard">
    <w:name w:val="Standard"/>
    <w:qFormat/>
    <w:pPr>
      <w:widowControl/>
      <w:suppressAutoHyphens w:val="true"/>
      <w:bidi w:val="0"/>
      <w:spacing w:lineRule="auto" w:line="259" w:before="0" w:after="0"/>
      <w:jc w:val="left"/>
    </w:pPr>
    <w:rPr>
      <w:rFonts w:ascii="Liberation Serif" w:hAnsi="Liberation Serif" w:eastAsia="NSimSun" w:cs="Lucida Sans"/>
      <w:color w:val="00000A"/>
      <w:kern w:val="2"/>
      <w:sz w:val="24"/>
      <w:szCs w:val="24"/>
      <w:lang w:val="pt-BR" w:eastAsia="zh-CN" w:bidi="hi-IN"/>
    </w:rPr>
  </w:style>
  <w:style w:type="paragraph" w:styleId="CAPA">
    <w:name w:val="CAPA"/>
    <w:qFormat/>
    <w:pPr>
      <w:widowControl/>
      <w:suppressAutoHyphens w:val="true"/>
      <w:bidi w:val="0"/>
      <w:spacing w:lineRule="auto" w:line="360" w:before="0" w:after="0"/>
      <w:contextualSpacing/>
      <w:jc w:val="center"/>
    </w:pPr>
    <w:rPr>
      <w:rFonts w:ascii="Calibri Light" w:hAnsi="Calibri Light" w:eastAsia="Segoe UI" w:cs="Arial"/>
      <w:b/>
      <w:caps/>
      <w:color w:val="00000A"/>
      <w:kern w:val="0"/>
      <w:sz w:val="36"/>
      <w:szCs w:val="36"/>
      <w:lang w:val="pt-BR" w:eastAsia="pt-BR" w:bidi="ar-SA"/>
    </w:rPr>
  </w:style>
  <w:style w:type="paragraph" w:styleId="CAPAOUTROSELEM">
    <w:name w:val="CAPA - OUTROS ELEM"/>
    <w:basedOn w:val="CAPA"/>
    <w:qFormat/>
    <w:pPr/>
    <w:rPr>
      <w:sz w:val="24"/>
      <w:szCs w:val="24"/>
    </w:rPr>
  </w:style>
  <w:style w:type="paragraph" w:styleId="Nivel01">
    <w:name w:val="Nivel 01"/>
    <w:basedOn w:val="Ttulo1"/>
    <w:next w:val="Normal"/>
    <w:qFormat/>
    <w:pPr>
      <w:tabs>
        <w:tab w:val="clear" w:pos="708"/>
        <w:tab w:val="left" w:pos="567" w:leader="none"/>
      </w:tabs>
      <w:spacing w:before="240" w:after="0"/>
      <w:ind w:left="0" w:hanging="0"/>
      <w:jc w:val="both"/>
    </w:pPr>
    <w:rPr>
      <w:rFonts w:ascii="Arial" w:hAnsi="Arial" w:cs="Arial"/>
      <w:color w:val="00000A"/>
      <w:sz w:val="20"/>
      <w:szCs w:val="20"/>
    </w:rPr>
  </w:style>
  <w:style w:type="paragraph" w:styleId="Nvel3R">
    <w:name w:val="Nível 3-R"/>
    <w:basedOn w:val="Nivel3"/>
    <w:qFormat/>
    <w:pPr/>
    <w:rPr>
      <w:i/>
      <w:iCs/>
      <w:color w:val="FF0000"/>
    </w:rPr>
  </w:style>
  <w:style w:type="paragraph" w:styleId="Nvel2Red">
    <w:name w:val="Nível 2 -Red"/>
    <w:basedOn w:val="Nivel2"/>
    <w:qFormat/>
    <w:pPr/>
    <w:rPr>
      <w:i/>
      <w:iCs/>
      <w:color w:val="FF0000"/>
    </w:rPr>
  </w:style>
  <w:style w:type="numbering" w:styleId="NoList" w:default="1">
    <w:name w:val="No List"/>
    <w:uiPriority w:val="99"/>
    <w:semiHidden/>
    <w:unhideWhenUsed/>
    <w:qFormat/>
  </w:style>
  <w:style w:type="numbering" w:styleId="Numeraoivx">
    <w:name w:val="Numeração ivx"/>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9b32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leis/l8078compilado.htm" TargetMode="External"/><Relationship Id="rId5" Type="http://schemas.openxmlformats.org/officeDocument/2006/relationships/hyperlink" Target="https://www.gov.br/compras/pt-br/acesso-a-informacao/legislacao/instrucoes-normativas/instrucao-normativa-no-01-de-19-de-janeiro-de-2010" TargetMode="External"/><Relationship Id="rId6" Type="http://schemas.openxmlformats.org/officeDocument/2006/relationships/hyperlink" Target="http://www.ibama.gov.br/component/legislacao/?view=legislacao&amp;force=1&amp;legislacao=131960" TargetMode="External"/><Relationship Id="rId7" Type="http://schemas.openxmlformats.org/officeDocument/2006/relationships/hyperlink" Target="http://www.ibama.gov.br/component/legislacao/?view=legislacao&amp;legislacao=112647" TargetMode="External"/><Relationship Id="rId8" Type="http://schemas.openxmlformats.org/officeDocument/2006/relationships/hyperlink" Target="http://www.ibama.gov.br/phocadownload/sinaflor/2018/2018-06-13-Ibama-IN-IBAMA-21-24-12-2014-SINAFLOR-DOF-compilada.pdf" TargetMode="External"/><Relationship Id="rId9" Type="http://schemas.openxmlformats.org/officeDocument/2006/relationships/hyperlink" Target="https://cetesb.sp.gov.br/licenciamento/documentos/2002_Res_CONAMA_307.pdf" TargetMode="External"/><Relationship Id="rId10" Type="http://schemas.openxmlformats.org/officeDocument/2006/relationships/hyperlink" Target="http://www.ipaam.am.gov.br/wp-content/uploads/2021/01/Conama-382-Poluentes-atmosfericos.pdf" TargetMode="External"/><Relationship Id="rId11" Type="http://schemas.openxmlformats.org/officeDocument/2006/relationships/hyperlink" Target="http://www.ibama.gov.br/sophia/cnia/legislacao/MMA/RE0001-080390.PDF" TargetMode="External"/><Relationship Id="rId12" Type="http://schemas.openxmlformats.org/officeDocument/2006/relationships/hyperlink" Target="https://www.gov.br/compras/pt-br/acesso-a-informacao/legislacao/instrucoes-normativas/instrucao-normativa-no-01-de-19-de-janeiro-de-2010" TargetMode="External"/><Relationship Id="rId13"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_ato2011-2014/2013/lei/l12846.htm" TargetMode="External"/><Relationship Id="rId16" Type="http://schemas.openxmlformats.org/officeDocument/2006/relationships/hyperlink" Target="https://ceiscadastro.cgu.gov.br/index.aspx?ReturnUrl=%2F" TargetMode="External"/><Relationship Id="rId17" Type="http://schemas.openxmlformats.org/officeDocument/2006/relationships/hyperlink" Target="https://www.gov.br/compras/pt-br/acesso-a-informacao/legislacao/instrucoes-normativas/instrucao-normativa-seges-me-no-26-de-13-de-abril-de-2022" TargetMode="External"/><Relationship Id="rId18" Type="http://schemas.openxmlformats.org/officeDocument/2006/relationships/footer" Target="footer1.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Relationship Id="rId24" Type="http://schemas.openxmlformats.org/officeDocument/2006/relationships/customXml" Target="../customXml/item2.xml"/><Relationship Id="rId25" Type="http://schemas.openxmlformats.org/officeDocument/2006/relationships/customXml" Target="../customXml/item3.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587B08-AF6B-4E57-8DCB-DB2F9D7D4850}">
  <ds:schemaRefs>
    <ds:schemaRef ds:uri="http://schemas.microsoft.com/sharepoint/v3/contenttype/forms"/>
  </ds:schemaRefs>
</ds:datastoreItem>
</file>

<file path=customXml/itemProps2.xml><?xml version="1.0" encoding="utf-8"?>
<ds:datastoreItem xmlns:ds="http://schemas.openxmlformats.org/officeDocument/2006/customXml" ds:itemID="{93349C7B-D91D-4C74-8E00-0AB362F35E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2F6229-F8D2-402A-AFAD-1FB257056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Application>LibreOffice/6.4.7.2$Linux_X86_64 LibreOffice_project/40$Build-2</Application>
  <Pages>25</Pages>
  <Words>7294</Words>
  <Characters>41721</Characters>
  <CharactersWithSpaces>48637</CharactersWithSpaces>
  <Paragraphs>282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2022-07-14T23:29:00Z</dcterms:created>
  <dc:creator>Hugo Sales</dc:creator>
  <dc:description/>
  <dc:language>pt-BR</dc:language>
  <cp:lastModifiedBy/>
  <dcterms:modified xsi:type="dcterms:W3CDTF">2023-10-26T13:42:32Z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